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A7" w:rsidRPr="004804A7" w:rsidRDefault="004804A7" w:rsidP="004804A7">
      <w:pPr>
        <w:spacing w:after="0" w:line="240" w:lineRule="exact"/>
        <w:jc w:val="center"/>
        <w:rPr>
          <w:rFonts w:ascii="Arial" w:eastAsia="ヒラギノ角ゴ Pro W3" w:hAnsi="Arial" w:cs="Arial"/>
          <w:color w:val="000000"/>
          <w:sz w:val="20"/>
          <w:szCs w:val="20"/>
          <w:u w:val="single"/>
        </w:rPr>
      </w:pPr>
      <w:bookmarkStart w:id="0" w:name="_GoBack"/>
      <w:bookmarkEnd w:id="0"/>
      <w:r w:rsidRPr="004804A7">
        <w:rPr>
          <w:rFonts w:ascii="Arial" w:eastAsia="ヒラギノ角ゴ Pro W3" w:hAnsi="Arial" w:cs="Arial"/>
          <w:color w:val="000000"/>
          <w:sz w:val="20"/>
          <w:szCs w:val="20"/>
          <w:u w:val="single"/>
        </w:rPr>
        <w:t>ANNEXE I</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p>
    <w:p w:rsidR="004804A7" w:rsidRPr="004804A7" w:rsidRDefault="004804A7" w:rsidP="004804A7">
      <w:pPr>
        <w:spacing w:after="0" w:line="240" w:lineRule="exact"/>
        <w:ind w:left="-1276" w:right="139"/>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Déroulement des commissions d’entretien de direction d’école maternelle ou élémentaire</w:t>
      </w:r>
    </w:p>
    <w:p w:rsidR="004804A7" w:rsidRDefault="004804A7" w:rsidP="004804A7">
      <w:pPr>
        <w:spacing w:after="0" w:line="240" w:lineRule="exact"/>
        <w:ind w:left="-1276" w:right="139"/>
        <w:jc w:val="both"/>
        <w:rPr>
          <w:rFonts w:ascii="Arial" w:eastAsia="ヒラギノ角ゴ Pro W3" w:hAnsi="Arial" w:cs="Arial"/>
          <w:color w:val="000000"/>
          <w:sz w:val="20"/>
          <w:szCs w:val="20"/>
          <w:u w:val="single"/>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 xml:space="preserve">► Conditions </w:t>
      </w:r>
    </w:p>
    <w:p w:rsidR="004804A7" w:rsidRPr="004804A7" w:rsidRDefault="004804A7" w:rsidP="004804A7">
      <w:pPr>
        <w:spacing w:after="0" w:line="240" w:lineRule="exact"/>
        <w:ind w:left="-1276" w:right="139"/>
        <w:rPr>
          <w:rFonts w:ascii="Arial" w:eastAsia="ヒラギノ角ゴ Pro W3" w:hAnsi="Arial" w:cs="Arial"/>
          <w:color w:val="000000"/>
          <w:sz w:val="20"/>
          <w:szCs w:val="20"/>
          <w:u w:val="single"/>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rPr>
        <w:t>Peuvent solliciter leur inscription sur les listes d'aptitude les instituteurs et professeurs des écoles titulaires comptant deux ans de services effectifs en qualité d’enseignant au 1</w:t>
      </w:r>
      <w:r w:rsidRPr="004804A7">
        <w:rPr>
          <w:rFonts w:ascii="Arial" w:eastAsia="ヒラギノ角ゴ Pro W3" w:hAnsi="Arial" w:cs="Arial"/>
          <w:color w:val="000000"/>
          <w:sz w:val="20"/>
          <w:szCs w:val="20"/>
          <w:vertAlign w:val="superscript"/>
        </w:rPr>
        <w:t>er</w:t>
      </w:r>
      <w:r w:rsidRPr="004804A7">
        <w:rPr>
          <w:rFonts w:ascii="Arial" w:eastAsia="ヒラギノ角ゴ Pro W3" w:hAnsi="Arial" w:cs="Arial"/>
          <w:color w:val="000000"/>
          <w:sz w:val="20"/>
          <w:szCs w:val="20"/>
        </w:rPr>
        <w:t xml:space="preserve"> septembre 2022.</w:t>
      </w:r>
    </w:p>
    <w:p w:rsidR="004804A7" w:rsidRPr="004804A7" w:rsidRDefault="004804A7" w:rsidP="004804A7">
      <w:pPr>
        <w:spacing w:after="0" w:line="240" w:lineRule="exact"/>
        <w:ind w:left="-1276" w:right="139"/>
        <w:jc w:val="center"/>
        <w:rPr>
          <w:rFonts w:ascii="Arial" w:eastAsia="ヒラギノ角ゴ Pro W3" w:hAnsi="Arial" w:cs="Arial"/>
          <w:color w:val="000000"/>
          <w:sz w:val="20"/>
          <w:szCs w:val="20"/>
        </w:rPr>
      </w:pPr>
    </w:p>
    <w:p w:rsidR="004804A7" w:rsidRPr="0025447B" w:rsidRDefault="004804A7" w:rsidP="0025447B">
      <w:pPr>
        <w:spacing w:after="0" w:line="240" w:lineRule="exact"/>
        <w:ind w:left="-1276" w:right="139"/>
        <w:jc w:val="both"/>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 Dépôt des candidatures</w:t>
      </w:r>
    </w:p>
    <w:p w:rsidR="004804A7" w:rsidRPr="004804A7" w:rsidRDefault="004804A7" w:rsidP="004804A7">
      <w:pPr>
        <w:shd w:val="clear" w:color="auto" w:fill="FFFFFF"/>
        <w:spacing w:after="0" w:line="240" w:lineRule="exact"/>
        <w:ind w:right="139"/>
        <w:jc w:val="both"/>
        <w:rPr>
          <w:rFonts w:ascii="Arial" w:eastAsia="ヒラギノ角ゴ Pro W3" w:hAnsi="Arial" w:cs="Arial"/>
          <w:sz w:val="20"/>
          <w:szCs w:val="20"/>
        </w:rPr>
      </w:pPr>
    </w:p>
    <w:p w:rsidR="004804A7" w:rsidRPr="004804A7" w:rsidRDefault="004804A7" w:rsidP="004804A7">
      <w:pPr>
        <w:widowControl w:val="0"/>
        <w:shd w:val="clear" w:color="auto" w:fill="FFFFFF"/>
        <w:autoSpaceDE w:val="0"/>
        <w:autoSpaceDN w:val="0"/>
        <w:spacing w:after="0" w:line="276" w:lineRule="auto"/>
        <w:ind w:left="-1276" w:right="139"/>
        <w:jc w:val="center"/>
        <w:rPr>
          <w:rFonts w:ascii="Arial" w:hAnsi="Arial" w:cs="Arial"/>
          <w:b/>
          <w:sz w:val="20"/>
          <w:szCs w:val="20"/>
          <w:u w:val="single"/>
        </w:rPr>
      </w:pPr>
      <w:r w:rsidRPr="004804A7">
        <w:rPr>
          <w:rFonts w:ascii="Arial" w:hAnsi="Arial" w:cs="Arial"/>
          <w:b/>
          <w:sz w:val="20"/>
          <w:szCs w:val="20"/>
          <w:u w:val="single"/>
        </w:rPr>
        <w:t>Le vendredi 15 octobre 2021 au plus tard,</w:t>
      </w:r>
    </w:p>
    <w:p w:rsidR="004804A7" w:rsidRPr="004804A7" w:rsidRDefault="004804A7" w:rsidP="004804A7">
      <w:pPr>
        <w:widowControl w:val="0"/>
        <w:shd w:val="clear" w:color="auto" w:fill="FFFFFF"/>
        <w:autoSpaceDE w:val="0"/>
        <w:autoSpaceDN w:val="0"/>
        <w:spacing w:after="0" w:line="276" w:lineRule="auto"/>
        <w:ind w:left="-1276" w:right="139"/>
        <w:jc w:val="center"/>
        <w:rPr>
          <w:rFonts w:ascii="Arial" w:hAnsi="Arial" w:cs="Arial"/>
          <w:b/>
          <w:i/>
          <w:sz w:val="20"/>
          <w:szCs w:val="20"/>
          <w:u w:val="single"/>
        </w:rPr>
      </w:pPr>
    </w:p>
    <w:p w:rsidR="004804A7" w:rsidRPr="004804A7" w:rsidRDefault="004804A7" w:rsidP="004804A7">
      <w:pPr>
        <w:widowControl w:val="0"/>
        <w:shd w:val="clear" w:color="auto" w:fill="FFFFFF"/>
        <w:autoSpaceDE w:val="0"/>
        <w:autoSpaceDN w:val="0"/>
        <w:spacing w:after="0" w:line="276" w:lineRule="auto"/>
        <w:ind w:left="-1276" w:right="139"/>
        <w:jc w:val="both"/>
        <w:rPr>
          <w:rFonts w:ascii="Arial" w:hAnsi="Arial" w:cs="Arial"/>
          <w:sz w:val="20"/>
          <w:szCs w:val="20"/>
        </w:rPr>
      </w:pPr>
      <w:r w:rsidRPr="004804A7">
        <w:rPr>
          <w:rFonts w:ascii="Arial" w:hAnsi="Arial" w:cs="Arial"/>
          <w:sz w:val="20"/>
          <w:szCs w:val="20"/>
        </w:rPr>
        <w:t>Les inspecteurs de l’éducation nationale adresseront les dossiers à la division des personnels enseignants du 1</w:t>
      </w:r>
      <w:r w:rsidRPr="004804A7">
        <w:rPr>
          <w:rFonts w:ascii="Arial" w:hAnsi="Arial" w:cs="Arial"/>
          <w:sz w:val="20"/>
          <w:szCs w:val="20"/>
          <w:vertAlign w:val="superscript"/>
        </w:rPr>
        <w:t>er</w:t>
      </w:r>
      <w:r w:rsidRPr="004804A7">
        <w:rPr>
          <w:rFonts w:ascii="Arial" w:hAnsi="Arial" w:cs="Arial"/>
          <w:sz w:val="20"/>
          <w:szCs w:val="20"/>
        </w:rPr>
        <w:t xml:space="preserve"> degré public - bureau DE2, bureau 2033, pour le vendredi 22 octobre 2021, délai de rigueur.</w:t>
      </w:r>
    </w:p>
    <w:p w:rsidR="004804A7" w:rsidRPr="004804A7" w:rsidRDefault="004804A7" w:rsidP="004804A7">
      <w:pPr>
        <w:widowControl w:val="0"/>
        <w:shd w:val="clear" w:color="auto" w:fill="FFFFFF"/>
        <w:autoSpaceDE w:val="0"/>
        <w:autoSpaceDN w:val="0"/>
        <w:spacing w:after="0" w:line="276" w:lineRule="auto"/>
        <w:ind w:left="-1276" w:right="139"/>
        <w:jc w:val="both"/>
        <w:rPr>
          <w:rFonts w:ascii="Arial" w:hAnsi="Arial" w:cs="Arial"/>
          <w:sz w:val="20"/>
          <w:szCs w:val="20"/>
        </w:rPr>
      </w:pPr>
      <w:r w:rsidRPr="004804A7">
        <w:rPr>
          <w:rFonts w:ascii="Arial" w:hAnsi="Arial" w:cs="Arial"/>
          <w:sz w:val="20"/>
          <w:szCs w:val="20"/>
        </w:rPr>
        <w:t xml:space="preserve">Les candidats volontaires remplaçants de la </w:t>
      </w:r>
      <w:r w:rsidRPr="004804A7">
        <w:rPr>
          <w:rFonts w:ascii="Arial" w:hAnsi="Arial" w:cs="Arial"/>
          <w:b/>
          <w:sz w:val="20"/>
          <w:szCs w:val="20"/>
        </w:rPr>
        <w:t xml:space="preserve">brigade adresseront leur dossier à la circonscription de leur école de rattachement </w:t>
      </w:r>
      <w:r w:rsidRPr="004804A7">
        <w:rPr>
          <w:rFonts w:ascii="Arial" w:hAnsi="Arial" w:cs="Arial"/>
          <w:sz w:val="20"/>
          <w:szCs w:val="20"/>
        </w:rPr>
        <w:t xml:space="preserve">pour le </w:t>
      </w:r>
      <w:r w:rsidRPr="004804A7">
        <w:rPr>
          <w:rFonts w:ascii="Arial" w:hAnsi="Arial" w:cs="Arial"/>
          <w:b/>
          <w:sz w:val="20"/>
          <w:szCs w:val="20"/>
        </w:rPr>
        <w:t>vendredi 15 octobre 2021</w:t>
      </w:r>
      <w:r w:rsidRPr="004804A7">
        <w:rPr>
          <w:rFonts w:ascii="Arial" w:hAnsi="Arial" w:cs="Arial"/>
          <w:sz w:val="20"/>
          <w:szCs w:val="20"/>
        </w:rPr>
        <w:t>, délai de rigueur.</w:t>
      </w:r>
    </w:p>
    <w:p w:rsidR="004804A7" w:rsidRPr="004804A7" w:rsidRDefault="004804A7" w:rsidP="004804A7">
      <w:pPr>
        <w:widowControl w:val="0"/>
        <w:shd w:val="clear" w:color="auto" w:fill="FFFFFF"/>
        <w:autoSpaceDE w:val="0"/>
        <w:autoSpaceDN w:val="0"/>
        <w:spacing w:after="0" w:line="276" w:lineRule="auto"/>
        <w:ind w:right="139"/>
        <w:jc w:val="both"/>
        <w:rPr>
          <w:rFonts w:ascii="Arial" w:hAnsi="Arial" w:cs="Arial"/>
          <w:sz w:val="20"/>
          <w:szCs w:val="20"/>
        </w:rPr>
      </w:pPr>
    </w:p>
    <w:p w:rsidR="004804A7" w:rsidRPr="004804A7" w:rsidRDefault="004804A7" w:rsidP="004804A7">
      <w:pPr>
        <w:widowControl w:val="0"/>
        <w:shd w:val="clear" w:color="auto" w:fill="FFFFFF"/>
        <w:autoSpaceDE w:val="0"/>
        <w:autoSpaceDN w:val="0"/>
        <w:spacing w:after="0" w:line="276" w:lineRule="auto"/>
        <w:ind w:left="-1276" w:right="139"/>
        <w:jc w:val="both"/>
        <w:rPr>
          <w:rFonts w:ascii="Arial" w:hAnsi="Arial" w:cs="Arial"/>
          <w:sz w:val="20"/>
          <w:szCs w:val="20"/>
          <w:u w:val="single"/>
        </w:rPr>
      </w:pPr>
      <w:r w:rsidRPr="004804A7">
        <w:rPr>
          <w:rFonts w:ascii="Arial" w:hAnsi="Arial" w:cs="Arial"/>
          <w:sz w:val="20"/>
          <w:szCs w:val="20"/>
          <w:u w:val="single"/>
        </w:rPr>
        <w:t>► Convocation aux entretiens</w:t>
      </w:r>
    </w:p>
    <w:p w:rsidR="004804A7" w:rsidRPr="004804A7" w:rsidRDefault="004804A7" w:rsidP="004804A7">
      <w:pPr>
        <w:widowControl w:val="0"/>
        <w:shd w:val="clear" w:color="auto" w:fill="FFFFFF"/>
        <w:autoSpaceDE w:val="0"/>
        <w:autoSpaceDN w:val="0"/>
        <w:spacing w:after="0" w:line="276" w:lineRule="auto"/>
        <w:ind w:left="-1276" w:right="139"/>
        <w:jc w:val="both"/>
        <w:rPr>
          <w:rFonts w:ascii="Arial" w:hAnsi="Arial" w:cs="Arial"/>
          <w:color w:val="0000FF"/>
          <w:sz w:val="20"/>
          <w:szCs w:val="20"/>
        </w:rPr>
      </w:pPr>
      <w:r w:rsidRPr="004804A7">
        <w:rPr>
          <w:rFonts w:ascii="Arial" w:hAnsi="Arial" w:cs="Arial"/>
          <w:sz w:val="20"/>
          <w:szCs w:val="20"/>
        </w:rPr>
        <w:t xml:space="preserve">Les entretiens se dérouleront </w:t>
      </w:r>
      <w:r w:rsidRPr="004804A7">
        <w:rPr>
          <w:rFonts w:ascii="Arial" w:hAnsi="Arial" w:cs="Arial"/>
          <w:b/>
          <w:sz w:val="20"/>
          <w:szCs w:val="20"/>
          <w:u w:val="single"/>
        </w:rPr>
        <w:t>le mercredi 24 novembre et le mercredi 1</w:t>
      </w:r>
      <w:r w:rsidRPr="004804A7">
        <w:rPr>
          <w:rFonts w:ascii="Arial" w:hAnsi="Arial" w:cs="Arial"/>
          <w:b/>
          <w:sz w:val="20"/>
          <w:szCs w:val="20"/>
          <w:u w:val="single"/>
          <w:vertAlign w:val="superscript"/>
        </w:rPr>
        <w:t xml:space="preserve">er </w:t>
      </w:r>
      <w:r w:rsidRPr="004804A7">
        <w:rPr>
          <w:rFonts w:ascii="Arial" w:hAnsi="Arial" w:cs="Arial"/>
          <w:b/>
          <w:sz w:val="20"/>
          <w:szCs w:val="20"/>
          <w:u w:val="single"/>
        </w:rPr>
        <w:t xml:space="preserve"> décembre 2021</w:t>
      </w:r>
      <w:r w:rsidRPr="004804A7">
        <w:rPr>
          <w:rFonts w:ascii="Arial" w:hAnsi="Arial" w:cs="Arial"/>
          <w:sz w:val="20"/>
          <w:szCs w:val="20"/>
          <w:u w:val="single"/>
        </w:rPr>
        <w:t>.</w:t>
      </w:r>
    </w:p>
    <w:p w:rsidR="004804A7" w:rsidRPr="004804A7" w:rsidRDefault="004804A7" w:rsidP="004804A7">
      <w:pPr>
        <w:widowControl w:val="0"/>
        <w:shd w:val="clear" w:color="auto" w:fill="FFFFFF"/>
        <w:autoSpaceDE w:val="0"/>
        <w:autoSpaceDN w:val="0"/>
        <w:spacing w:after="0" w:line="276" w:lineRule="auto"/>
        <w:ind w:left="-1276" w:right="139"/>
        <w:jc w:val="both"/>
        <w:rPr>
          <w:rFonts w:ascii="Arial" w:hAnsi="Arial" w:cs="Arial"/>
          <w:sz w:val="20"/>
          <w:szCs w:val="20"/>
        </w:rPr>
      </w:pPr>
      <w:r w:rsidRPr="004804A7">
        <w:rPr>
          <w:rFonts w:ascii="Arial" w:hAnsi="Arial" w:cs="Arial"/>
          <w:sz w:val="20"/>
          <w:szCs w:val="20"/>
        </w:rPr>
        <w:t xml:space="preserve">La convocation sera adressée, par courriel </w:t>
      </w:r>
      <w:r w:rsidRPr="004804A7">
        <w:rPr>
          <w:rFonts w:ascii="Arial" w:hAnsi="Arial" w:cs="Arial"/>
          <w:b/>
          <w:sz w:val="20"/>
          <w:szCs w:val="20"/>
        </w:rPr>
        <w:t>sur la messagerie académique du candidat (</w:t>
      </w:r>
      <w:hyperlink r:id="rId5" w:history="1">
        <w:r w:rsidRPr="004804A7">
          <w:rPr>
            <w:rFonts w:ascii="Arial" w:hAnsi="Arial" w:cs="Arial"/>
            <w:b/>
            <w:color w:val="0563C1" w:themeColor="hyperlink"/>
            <w:sz w:val="20"/>
            <w:szCs w:val="20"/>
            <w:u w:val="single"/>
          </w:rPr>
          <w:t>prénom.nom@ac-paris.fr</w:t>
        </w:r>
      </w:hyperlink>
      <w:r w:rsidRPr="004804A7">
        <w:rPr>
          <w:rFonts w:ascii="Arial" w:hAnsi="Arial" w:cs="Arial"/>
          <w:b/>
          <w:sz w:val="20"/>
          <w:szCs w:val="20"/>
        </w:rPr>
        <w:t>)</w:t>
      </w:r>
      <w:r w:rsidRPr="004804A7">
        <w:rPr>
          <w:rFonts w:ascii="Arial" w:hAnsi="Arial" w:cs="Arial"/>
          <w:sz w:val="20"/>
          <w:szCs w:val="20"/>
        </w:rPr>
        <w:t xml:space="preserve"> avec copie à la circonscription. Elle sera présentée, accompagnée d’une pièce d’identité le jour de l’entretien.</w:t>
      </w:r>
    </w:p>
    <w:p w:rsidR="004804A7" w:rsidRPr="004804A7" w:rsidRDefault="004804A7" w:rsidP="004804A7">
      <w:pPr>
        <w:widowControl w:val="0"/>
        <w:shd w:val="clear" w:color="auto" w:fill="FFFFFF"/>
        <w:autoSpaceDE w:val="0"/>
        <w:autoSpaceDN w:val="0"/>
        <w:spacing w:after="0" w:line="276" w:lineRule="auto"/>
        <w:ind w:left="-1276" w:right="139"/>
        <w:jc w:val="both"/>
        <w:rPr>
          <w:rFonts w:ascii="Arial" w:hAnsi="Arial" w:cs="Arial"/>
          <w:sz w:val="20"/>
          <w:szCs w:val="20"/>
        </w:rPr>
      </w:pPr>
      <w:r w:rsidRPr="004804A7">
        <w:rPr>
          <w:rFonts w:ascii="Arial" w:hAnsi="Arial" w:cs="Arial"/>
          <w:sz w:val="20"/>
          <w:szCs w:val="20"/>
        </w:rPr>
        <w:t xml:space="preserve">Si le candidat ne recevait pas sa convocation au plus tard le 15 novembre 2021, il lui faudrait prendre contact dès ce jour avec Mme EKPO Victoria aux adresses suivantes : </w:t>
      </w:r>
      <w:r w:rsidRPr="004804A7">
        <w:rPr>
          <w:rFonts w:ascii="Arial" w:hAnsi="Arial" w:cs="Arial"/>
          <w:color w:val="0563C1" w:themeColor="hyperlink"/>
          <w:sz w:val="20"/>
          <w:szCs w:val="20"/>
          <w:u w:val="single"/>
        </w:rPr>
        <w:t>mvt1degre</w:t>
      </w:r>
      <w:hyperlink r:id="rId6" w:history="1">
        <w:r w:rsidRPr="004804A7">
          <w:rPr>
            <w:rFonts w:ascii="Arial" w:hAnsi="Arial" w:cs="Arial"/>
            <w:color w:val="0563C1" w:themeColor="hyperlink"/>
            <w:sz w:val="20"/>
            <w:szCs w:val="20"/>
            <w:u w:val="single"/>
          </w:rPr>
          <w:t>@ac-paris.fr</w:t>
        </w:r>
      </w:hyperlink>
      <w:r w:rsidRPr="004804A7">
        <w:rPr>
          <w:rFonts w:ascii="Arial" w:hAnsi="Arial" w:cs="Arial"/>
          <w:sz w:val="20"/>
          <w:szCs w:val="20"/>
        </w:rPr>
        <w:t xml:space="preserve"> et </w:t>
      </w:r>
      <w:hyperlink r:id="rId7" w:history="1">
        <w:r w:rsidRPr="004804A7">
          <w:rPr>
            <w:rFonts w:ascii="Arial" w:hAnsi="Arial" w:cs="Arial"/>
            <w:color w:val="0563C1" w:themeColor="hyperlink"/>
            <w:sz w:val="20"/>
            <w:szCs w:val="20"/>
            <w:u w:val="single"/>
          </w:rPr>
          <w:t>Yace-Victoria.Ekpo@ac-paris.fr</w:t>
        </w:r>
      </w:hyperlink>
      <w:r w:rsidRPr="004804A7">
        <w:rPr>
          <w:rFonts w:ascii="Arial" w:hAnsi="Arial" w:cs="Arial"/>
          <w:sz w:val="20"/>
          <w:szCs w:val="20"/>
        </w:rPr>
        <w:t xml:space="preserve"> pour la recevoir.</w:t>
      </w:r>
    </w:p>
    <w:p w:rsidR="004804A7" w:rsidRPr="004804A7" w:rsidRDefault="004804A7" w:rsidP="004804A7">
      <w:pPr>
        <w:widowControl w:val="0"/>
        <w:shd w:val="clear" w:color="auto" w:fill="FFFFFF"/>
        <w:autoSpaceDE w:val="0"/>
        <w:autoSpaceDN w:val="0"/>
        <w:spacing w:after="0" w:line="276" w:lineRule="auto"/>
        <w:ind w:left="-1276" w:right="139"/>
        <w:jc w:val="both"/>
        <w:rPr>
          <w:rFonts w:ascii="Arial" w:hAnsi="Arial" w:cs="Arial"/>
          <w:sz w:val="20"/>
          <w:szCs w:val="20"/>
        </w:rPr>
      </w:pPr>
      <w:r w:rsidRPr="004804A7">
        <w:rPr>
          <w:rFonts w:ascii="Arial" w:hAnsi="Arial" w:cs="Arial"/>
          <w:sz w:val="20"/>
          <w:szCs w:val="20"/>
          <w:u w:val="single"/>
        </w:rPr>
        <w:t xml:space="preserve">► Déroulement de l’entretien </w:t>
      </w: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 xml:space="preserve">L'appréciation portée par la commission se fondera sur la prestation du candidat pendant l’entretien et sur l'examen de son dossier, complété d’une lettre de motivation. </w:t>
      </w: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L’entretien, d’une durée totale de 30 minutes environ, comporte deux parties :</w:t>
      </w: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 10 minutes pendant lesquelles le candidat tire au sort trois questions et y répond immédiatement. Ces questions porteront sur les trois domaines suivants :</w:t>
      </w: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numPr>
          <w:ilvl w:val="0"/>
          <w:numId w:val="1"/>
        </w:num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les responsabilités pédagogiques,</w:t>
      </w:r>
    </w:p>
    <w:p w:rsidR="004804A7" w:rsidRPr="004804A7" w:rsidRDefault="004804A7" w:rsidP="004804A7">
      <w:pPr>
        <w:numPr>
          <w:ilvl w:val="0"/>
          <w:numId w:val="1"/>
        </w:num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les responsabilités relatives au fonctionnement de l’école,</w:t>
      </w:r>
    </w:p>
    <w:p w:rsidR="004804A7" w:rsidRPr="004804A7" w:rsidRDefault="004804A7" w:rsidP="004804A7">
      <w:pPr>
        <w:numPr>
          <w:ilvl w:val="0"/>
          <w:numId w:val="1"/>
        </w:num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les relations avec les parents et les partenaires.</w:t>
      </w: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 xml:space="preserve">□ 20 minutes d’entretien, avec la commission, destiné à approfondir et élargir les sujets abordés. </w:t>
      </w: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A cette occasion, seront notamment constatées l’aptitude au dialogue, à l’écoute de l’interlocuteur, à la capacité à exposer et à argumenter.</w:t>
      </w: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u w:val="single"/>
        </w:rPr>
        <w:t>► Appréciation de la commission</w:t>
      </w:r>
    </w:p>
    <w:p w:rsidR="004804A7" w:rsidRPr="004804A7" w:rsidRDefault="004804A7" w:rsidP="004804A7">
      <w:pPr>
        <w:shd w:val="clear" w:color="auto" w:fill="FFFFFF"/>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La commission remplira, pour chacun des candidats, une fiche d’appréciation dûment motivée et signée par chacun de ses membres. Les questions tirées au sort, signées par les candidats, seront jointes au dossier. Les candidats recevront la notification des décisions les concernant par courriel</w:t>
      </w:r>
      <w:r w:rsidRPr="004804A7">
        <w:rPr>
          <w:rFonts w:ascii="Arial" w:eastAsia="ヒラギノ角ゴ Pro W3" w:hAnsi="Arial" w:cs="Arial"/>
          <w:b/>
          <w:color w:val="000000"/>
          <w:sz w:val="20"/>
          <w:szCs w:val="20"/>
        </w:rPr>
        <w:t xml:space="preserve"> </w:t>
      </w:r>
      <w:r w:rsidRPr="004804A7">
        <w:rPr>
          <w:rFonts w:ascii="Arial" w:eastAsia="ヒラギノ角ゴ Pro W3" w:hAnsi="Arial" w:cs="Arial"/>
          <w:color w:val="000000"/>
          <w:sz w:val="20"/>
          <w:szCs w:val="20"/>
        </w:rPr>
        <w:t>sur leur messagerie académique.</w:t>
      </w:r>
    </w:p>
    <w:p w:rsidR="004804A7" w:rsidRPr="004804A7" w:rsidRDefault="004804A7" w:rsidP="004804A7">
      <w:pPr>
        <w:shd w:val="clear" w:color="auto" w:fill="FFFFFF"/>
        <w:spacing w:after="0" w:line="240" w:lineRule="exact"/>
        <w:ind w:left="-1701" w:right="139"/>
        <w:jc w:val="center"/>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ANNEXE II</w:t>
      </w:r>
    </w:p>
    <w:p w:rsidR="004804A7" w:rsidRPr="004804A7" w:rsidRDefault="004804A7" w:rsidP="004804A7">
      <w:pPr>
        <w:spacing w:after="0" w:line="240" w:lineRule="exact"/>
        <w:ind w:right="139"/>
        <w:jc w:val="both"/>
        <w:rPr>
          <w:rFonts w:ascii="Arial" w:eastAsia="ヒラギノ角ゴ Pro W3" w:hAnsi="Arial" w:cs="Arial"/>
          <w:color w:val="000000"/>
          <w:sz w:val="20"/>
          <w:szCs w:val="20"/>
          <w:u w:val="single"/>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Déroulement des commissions d’entretien de direction d’école spécialisée ou d’école d’application.</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 xml:space="preserve">► Conditions </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 xml:space="preserve"> </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Peuvent solliciter leur inscription sur les listes d'aptitude les instituteurs et professeurs des écoles titulaires, les directeurs d’école maternelle ou élémentaire, remplissant les conditions suivantes :</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p>
    <w:tbl>
      <w:tblPr>
        <w:tblW w:w="9415"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520"/>
        <w:gridCol w:w="2233"/>
        <w:gridCol w:w="2234"/>
      </w:tblGrid>
      <w:tr w:rsidR="004804A7" w:rsidRPr="004804A7" w:rsidTr="00F8363B">
        <w:trPr>
          <w:trHeight w:val="944"/>
        </w:trPr>
        <w:tc>
          <w:tcPr>
            <w:tcW w:w="3428"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Liste d’aptitude</w:t>
            </w:r>
          </w:p>
        </w:tc>
        <w:tc>
          <w:tcPr>
            <w:tcW w:w="1520"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Âge minimum au 1</w:t>
            </w:r>
            <w:r w:rsidRPr="004804A7">
              <w:rPr>
                <w:rFonts w:ascii="Arial" w:eastAsia="ヒラギノ角ゴ Pro W3" w:hAnsi="Arial" w:cs="Arial"/>
                <w:color w:val="000000"/>
                <w:sz w:val="20"/>
                <w:szCs w:val="20"/>
                <w:vertAlign w:val="superscript"/>
              </w:rPr>
              <w:t>er</w:t>
            </w:r>
            <w:r w:rsidRPr="004804A7">
              <w:rPr>
                <w:rFonts w:ascii="Arial" w:eastAsia="ヒラギノ角ゴ Pro W3" w:hAnsi="Arial" w:cs="Arial"/>
                <w:color w:val="000000"/>
                <w:sz w:val="20"/>
                <w:szCs w:val="20"/>
              </w:rPr>
              <w:t xml:space="preserve"> octobre 2021</w:t>
            </w:r>
          </w:p>
        </w:tc>
        <w:tc>
          <w:tcPr>
            <w:tcW w:w="2233"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Ancienneté générale de service au 1</w:t>
            </w:r>
            <w:r w:rsidRPr="004804A7">
              <w:rPr>
                <w:rFonts w:ascii="Arial" w:eastAsia="ヒラギノ角ゴ Pro W3" w:hAnsi="Arial" w:cs="Arial"/>
                <w:color w:val="000000"/>
                <w:sz w:val="20"/>
                <w:szCs w:val="20"/>
                <w:vertAlign w:val="superscript"/>
              </w:rPr>
              <w:t>er</w:t>
            </w:r>
            <w:r w:rsidRPr="004804A7">
              <w:rPr>
                <w:rFonts w:ascii="Arial" w:eastAsia="ヒラギノ角ゴ Pro W3" w:hAnsi="Arial" w:cs="Arial"/>
                <w:color w:val="000000"/>
                <w:sz w:val="20"/>
                <w:szCs w:val="20"/>
              </w:rPr>
              <w:t xml:space="preserve"> octobre 2021</w:t>
            </w:r>
          </w:p>
        </w:tc>
        <w:tc>
          <w:tcPr>
            <w:tcW w:w="2234"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Titre ou diplômes requis</w:t>
            </w:r>
          </w:p>
        </w:tc>
      </w:tr>
      <w:tr w:rsidR="004804A7" w:rsidRPr="004804A7" w:rsidTr="00F8363B">
        <w:trPr>
          <w:trHeight w:val="944"/>
        </w:trPr>
        <w:tc>
          <w:tcPr>
            <w:tcW w:w="3428"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 xml:space="preserve">Enseignement spécialisé : </w:t>
            </w:r>
          </w:p>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Ecoles comportant au moins trois classes spécialisées</w:t>
            </w:r>
          </w:p>
        </w:tc>
        <w:tc>
          <w:tcPr>
            <w:tcW w:w="1520"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30 ans</w:t>
            </w:r>
          </w:p>
        </w:tc>
        <w:tc>
          <w:tcPr>
            <w:tcW w:w="2233"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Aucune condition requise</w:t>
            </w:r>
          </w:p>
        </w:tc>
        <w:tc>
          <w:tcPr>
            <w:tcW w:w="2234"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Etre titulaire du diplôme d’établissement d’éducation adaptée et spécialisée DDEAS</w:t>
            </w:r>
          </w:p>
        </w:tc>
      </w:tr>
      <w:tr w:rsidR="004804A7" w:rsidRPr="004804A7" w:rsidTr="00F8363B">
        <w:trPr>
          <w:trHeight w:val="944"/>
        </w:trPr>
        <w:tc>
          <w:tcPr>
            <w:tcW w:w="3428"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 xml:space="preserve">Enseignement spécialisé : </w:t>
            </w:r>
          </w:p>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Ecoles comportant au moins trois classes spécialisées</w:t>
            </w:r>
          </w:p>
        </w:tc>
        <w:tc>
          <w:tcPr>
            <w:tcW w:w="1520"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30 ans</w:t>
            </w:r>
          </w:p>
        </w:tc>
        <w:tc>
          <w:tcPr>
            <w:tcW w:w="2233"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8 ans d’ancienneté en qualité d’enseignant dont 5 ans dans l’enseignement spécialisés</w:t>
            </w:r>
          </w:p>
        </w:tc>
        <w:tc>
          <w:tcPr>
            <w:tcW w:w="2234"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Non titulaire du DDDEAS mais titulaire CAPPEI ou équivalent</w:t>
            </w:r>
          </w:p>
        </w:tc>
      </w:tr>
      <w:tr w:rsidR="004804A7" w:rsidRPr="004804A7" w:rsidTr="00F8363B">
        <w:trPr>
          <w:trHeight w:val="944"/>
        </w:trPr>
        <w:tc>
          <w:tcPr>
            <w:tcW w:w="3428"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Ecole d’application : écoles d’applications : au moins 4 classes</w:t>
            </w:r>
          </w:p>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Autres écoles : au moins 3 classes</w:t>
            </w:r>
          </w:p>
        </w:tc>
        <w:tc>
          <w:tcPr>
            <w:tcW w:w="1520"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30 ans</w:t>
            </w:r>
          </w:p>
        </w:tc>
        <w:tc>
          <w:tcPr>
            <w:tcW w:w="2233"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8 ans d’ancienneté</w:t>
            </w:r>
          </w:p>
        </w:tc>
        <w:tc>
          <w:tcPr>
            <w:tcW w:w="2234" w:type="dxa"/>
            <w:shd w:val="clear" w:color="auto" w:fill="auto"/>
            <w:vAlign w:val="center"/>
          </w:tcPr>
          <w:p w:rsidR="004804A7" w:rsidRPr="004804A7" w:rsidRDefault="004804A7" w:rsidP="004804A7">
            <w:pPr>
              <w:spacing w:after="0" w:line="240" w:lineRule="exact"/>
              <w:ind w:right="139"/>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Etre titulaire CAFIPEMF</w:t>
            </w:r>
          </w:p>
        </w:tc>
      </w:tr>
    </w:tbl>
    <w:p w:rsidR="004804A7" w:rsidRPr="004804A7" w:rsidRDefault="004804A7" w:rsidP="004804A7">
      <w:pPr>
        <w:tabs>
          <w:tab w:val="left" w:pos="3170"/>
          <w:tab w:val="left" w:pos="3540"/>
          <w:tab w:val="left" w:pos="4248"/>
          <w:tab w:val="left" w:pos="4956"/>
          <w:tab w:val="left" w:pos="5664"/>
          <w:tab w:val="left" w:pos="6372"/>
          <w:tab w:val="left" w:pos="7080"/>
          <w:tab w:val="left" w:pos="7788"/>
        </w:tabs>
        <w:spacing w:after="0" w:line="280" w:lineRule="exact"/>
        <w:ind w:right="139"/>
        <w:jc w:val="both"/>
        <w:rPr>
          <w:rFonts w:ascii="Arial" w:eastAsia="ヒラギノ角ゴ Pro W3" w:hAnsi="Arial" w:cs="Arial"/>
          <w:color w:val="000000"/>
          <w:sz w:val="20"/>
          <w:szCs w:val="20"/>
          <w:u w:val="single"/>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p>
    <w:p w:rsidR="004804A7" w:rsidRPr="004804A7" w:rsidRDefault="004804A7" w:rsidP="004804A7">
      <w:pPr>
        <w:tabs>
          <w:tab w:val="left" w:pos="3170"/>
          <w:tab w:val="left" w:pos="3540"/>
          <w:tab w:val="left" w:pos="4248"/>
          <w:tab w:val="left" w:pos="4956"/>
          <w:tab w:val="left" w:pos="5664"/>
          <w:tab w:val="left" w:pos="6372"/>
          <w:tab w:val="left" w:pos="7080"/>
          <w:tab w:val="left" w:pos="7788"/>
        </w:tabs>
        <w:spacing w:after="0" w:line="280" w:lineRule="exact"/>
        <w:ind w:left="-1276" w:right="139"/>
        <w:jc w:val="both"/>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 Dépôt des candidatures : mêmes conditions que celles figurant sur l’annexe I</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Cependant, les enseignants formuleront leur demande sur des dossiers de couleur :</w:t>
      </w:r>
    </w:p>
    <w:p w:rsidR="004804A7" w:rsidRPr="004804A7" w:rsidRDefault="004804A7" w:rsidP="004804A7">
      <w:pPr>
        <w:tabs>
          <w:tab w:val="left" w:pos="567"/>
        </w:tabs>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b/>
          <w:color w:val="000000"/>
          <w:sz w:val="20"/>
          <w:szCs w:val="20"/>
        </w:rPr>
        <w:t>- Jaune,</w:t>
      </w:r>
      <w:r w:rsidRPr="004804A7">
        <w:rPr>
          <w:rFonts w:ascii="Arial" w:eastAsia="ヒラギノ角ゴ Pro W3" w:hAnsi="Arial" w:cs="Arial"/>
          <w:color w:val="000000"/>
          <w:sz w:val="20"/>
          <w:szCs w:val="20"/>
        </w:rPr>
        <w:t xml:space="preserve"> pour la liste d’aptitude à la direction d’école spécialisée</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b/>
          <w:color w:val="000000"/>
          <w:sz w:val="20"/>
          <w:szCs w:val="20"/>
        </w:rPr>
        <w:t>- Rose,</w:t>
      </w:r>
      <w:r w:rsidRPr="004804A7">
        <w:rPr>
          <w:rFonts w:ascii="Arial" w:eastAsia="ヒラギノ角ゴ Pro W3" w:hAnsi="Arial" w:cs="Arial"/>
          <w:color w:val="000000"/>
          <w:sz w:val="20"/>
          <w:szCs w:val="20"/>
        </w:rPr>
        <w:t xml:space="preserve"> pour la liste d’aptitude à la direction d’école d’application</w:t>
      </w:r>
    </w:p>
    <w:p w:rsidR="004804A7" w:rsidRPr="004804A7" w:rsidRDefault="004804A7" w:rsidP="004804A7">
      <w:pPr>
        <w:tabs>
          <w:tab w:val="left" w:pos="3170"/>
          <w:tab w:val="left" w:pos="3540"/>
          <w:tab w:val="left" w:pos="4248"/>
          <w:tab w:val="left" w:pos="4956"/>
          <w:tab w:val="left" w:pos="5664"/>
          <w:tab w:val="left" w:pos="6372"/>
          <w:tab w:val="left" w:pos="7080"/>
          <w:tab w:val="left" w:pos="7788"/>
        </w:tabs>
        <w:spacing w:after="0" w:line="280" w:lineRule="exact"/>
        <w:ind w:left="-1276" w:right="139"/>
        <w:jc w:val="both"/>
        <w:rPr>
          <w:rFonts w:ascii="Arial" w:eastAsia="ヒラギノ角ゴ Pro W3" w:hAnsi="Arial" w:cs="Arial"/>
          <w:color w:val="000000"/>
          <w:sz w:val="20"/>
          <w:szCs w:val="20"/>
          <w:u w:val="single"/>
        </w:rPr>
      </w:pPr>
    </w:p>
    <w:p w:rsidR="004804A7" w:rsidRPr="004804A7" w:rsidRDefault="004804A7" w:rsidP="004804A7">
      <w:pPr>
        <w:tabs>
          <w:tab w:val="left" w:pos="3170"/>
          <w:tab w:val="left" w:pos="3540"/>
          <w:tab w:val="left" w:pos="4248"/>
          <w:tab w:val="left" w:pos="4956"/>
          <w:tab w:val="left" w:pos="5664"/>
          <w:tab w:val="left" w:pos="6372"/>
          <w:tab w:val="left" w:pos="7080"/>
          <w:tab w:val="left" w:pos="7788"/>
        </w:tabs>
        <w:spacing w:after="0" w:line="280" w:lineRule="exact"/>
        <w:ind w:left="-1276" w:right="139"/>
        <w:jc w:val="both"/>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 Convocation aux entretiens : mêmes conditions que celles figurant sur l’annexe I</w:t>
      </w:r>
    </w:p>
    <w:p w:rsidR="004804A7" w:rsidRPr="004804A7" w:rsidRDefault="004804A7" w:rsidP="004804A7">
      <w:pPr>
        <w:tabs>
          <w:tab w:val="left" w:pos="3170"/>
          <w:tab w:val="left" w:pos="3540"/>
          <w:tab w:val="left" w:pos="4248"/>
          <w:tab w:val="left" w:pos="4956"/>
          <w:tab w:val="left" w:pos="5664"/>
          <w:tab w:val="left" w:pos="6372"/>
          <w:tab w:val="left" w:pos="7080"/>
          <w:tab w:val="left" w:pos="7788"/>
        </w:tabs>
        <w:spacing w:after="0" w:line="280" w:lineRule="exact"/>
        <w:ind w:left="-1276" w:right="139"/>
        <w:jc w:val="both"/>
        <w:rPr>
          <w:rFonts w:ascii="Arial" w:eastAsia="ヒラギノ角ゴ Pro W3" w:hAnsi="Arial" w:cs="Arial"/>
          <w:color w:val="000000"/>
          <w:sz w:val="20"/>
          <w:szCs w:val="20"/>
        </w:rPr>
      </w:pPr>
    </w:p>
    <w:p w:rsidR="004804A7" w:rsidRPr="004804A7" w:rsidRDefault="004804A7" w:rsidP="004804A7">
      <w:pPr>
        <w:tabs>
          <w:tab w:val="left" w:pos="3170"/>
          <w:tab w:val="left" w:pos="3540"/>
          <w:tab w:val="left" w:pos="4248"/>
          <w:tab w:val="left" w:pos="4956"/>
          <w:tab w:val="left" w:pos="5664"/>
          <w:tab w:val="left" w:pos="6372"/>
          <w:tab w:val="left" w:pos="7080"/>
          <w:tab w:val="left" w:pos="7788"/>
        </w:tabs>
        <w:spacing w:after="0" w:line="280" w:lineRule="exact"/>
        <w:ind w:left="-1276" w:right="139"/>
        <w:jc w:val="both"/>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 Déroulement de l’entretien</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L’entretien, d’une durée totale de 30 minutes environ, est précédé de la préparation (30 minutes) du sujet tiré au sort par le candidat.</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r w:rsidRPr="004804A7">
        <w:rPr>
          <w:rFonts w:ascii="Arial" w:eastAsia="ヒラギノ角ゴ Pro W3" w:hAnsi="Arial" w:cs="Arial"/>
          <w:color w:val="000000"/>
          <w:sz w:val="20"/>
          <w:szCs w:val="20"/>
        </w:rPr>
        <w:t>□ 30 minutes d’entretien pendant lesquelles le candidat s’exprimera sur le sujet. A cette occasion, seront notamment constatées les aptitudes au dialogue, à l’écoute de l’interlocuteur, à la capacité à exposer et à argumenter.</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rPr>
      </w:pP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r w:rsidRPr="004804A7">
        <w:rPr>
          <w:rFonts w:ascii="Arial" w:eastAsia="ヒラギノ角ゴ Pro W3" w:hAnsi="Arial" w:cs="Arial"/>
          <w:color w:val="000000"/>
          <w:sz w:val="20"/>
          <w:szCs w:val="20"/>
          <w:u w:val="single"/>
        </w:rPr>
        <w:t>► Appréciation de la commission</w:t>
      </w:r>
    </w:p>
    <w:p w:rsidR="004804A7" w:rsidRPr="004804A7" w:rsidRDefault="004804A7" w:rsidP="004804A7">
      <w:pPr>
        <w:spacing w:after="0" w:line="240" w:lineRule="exact"/>
        <w:ind w:left="-1276" w:right="139"/>
        <w:jc w:val="both"/>
        <w:rPr>
          <w:rFonts w:ascii="Arial" w:eastAsia="ヒラギノ角ゴ Pro W3" w:hAnsi="Arial" w:cs="Arial"/>
          <w:color w:val="000000"/>
          <w:sz w:val="20"/>
          <w:szCs w:val="20"/>
          <w:u w:val="single"/>
        </w:rPr>
      </w:pPr>
    </w:p>
    <w:p w:rsidR="004804A7" w:rsidRPr="004804A7" w:rsidRDefault="004804A7" w:rsidP="004804A7">
      <w:pPr>
        <w:tabs>
          <w:tab w:val="left" w:pos="3170"/>
          <w:tab w:val="left" w:pos="3540"/>
          <w:tab w:val="left" w:pos="4248"/>
          <w:tab w:val="left" w:pos="4956"/>
          <w:tab w:val="left" w:pos="5664"/>
          <w:tab w:val="left" w:pos="6372"/>
          <w:tab w:val="left" w:pos="7080"/>
          <w:tab w:val="left" w:pos="7788"/>
        </w:tabs>
        <w:spacing w:after="0" w:line="280" w:lineRule="exact"/>
        <w:ind w:left="-1276"/>
        <w:rPr>
          <w:rFonts w:ascii="Arial" w:eastAsia="ヒラギノ角ゴ Pro W3" w:hAnsi="Arial" w:cs="Times New Roman"/>
          <w:color w:val="000000"/>
          <w:sz w:val="20"/>
          <w:szCs w:val="20"/>
        </w:rPr>
      </w:pPr>
      <w:r w:rsidRPr="004804A7">
        <w:rPr>
          <w:rFonts w:ascii="Arial" w:eastAsia="ヒラギノ角ゴ Pro W3" w:hAnsi="Arial" w:cs="Arial"/>
          <w:color w:val="000000"/>
          <w:sz w:val="20"/>
          <w:szCs w:val="20"/>
        </w:rPr>
        <w:t>La commission complètera, pour chacun des candidats, une fiche d’appréciation signée par chacun de ses membres. Le sujet tiré au sort, signé par le candidat, sera joint au dossier. Les candidats recevront la notification des décisions les concernan</w:t>
      </w:r>
      <w:r w:rsidRPr="004804A7">
        <w:rPr>
          <w:rFonts w:ascii="Times New Roman" w:eastAsia="ヒラギノ角ゴ Pro W3" w:hAnsi="Times New Roman" w:cs="Times New Roman"/>
          <w:noProof/>
          <w:color w:val="000000"/>
          <w:sz w:val="20"/>
          <w:szCs w:val="20"/>
          <w:lang w:eastAsia="fr-FR"/>
        </w:rPr>
        <mc:AlternateContent>
          <mc:Choice Requires="wps">
            <w:drawing>
              <wp:anchor distT="57150" distB="57150" distL="57150" distR="57150" simplePos="0" relativeHeight="251659264" behindDoc="0" locked="0" layoutInCell="1" allowOverlap="1" wp14:anchorId="1F57DEBB" wp14:editId="09087884">
                <wp:simplePos x="0" y="0"/>
                <wp:positionH relativeFrom="page">
                  <wp:posOffset>1054735</wp:posOffset>
                </wp:positionH>
                <wp:positionV relativeFrom="page">
                  <wp:posOffset>5930265</wp:posOffset>
                </wp:positionV>
                <wp:extent cx="228600" cy="342900"/>
                <wp:effectExtent l="0" t="0" r="2540" b="3810"/>
                <wp:wrapThrough wrapText="bothSides">
                  <wp:wrapPolygon edited="0">
                    <wp:start x="0" y="0"/>
                    <wp:lineTo x="21600" y="0"/>
                    <wp:lineTo x="21600" y="21600"/>
                    <wp:lineTo x="0" y="2160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04A7" w:rsidRPr="00AC7E06" w:rsidRDefault="004804A7" w:rsidP="004804A7">
                            <w:pPr>
                              <w:pStyle w:val="Paragraphestandard"/>
                              <w:rPr>
                                <w:rFonts w:ascii="Lucida Grande" w:hAnsi="Zapf Dingbats" w:hint="eastAsia"/>
                                <w:color w:val="032375"/>
                              </w:rPr>
                            </w:pPr>
                          </w:p>
                          <w:p w:rsidR="004804A7" w:rsidRDefault="004804A7" w:rsidP="004804A7">
                            <w:pPr>
                              <w:rPr>
                                <w:rFonts w:eastAsia="Times New Roman"/>
                                <w:sz w:val="20"/>
                                <w:lang w:eastAsia="fr-FR" w:bidi="x-none"/>
                              </w:rPr>
                            </w:pPr>
                          </w:p>
                          <w:p w:rsidR="004804A7" w:rsidRDefault="004804A7" w:rsidP="004804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7DEBB" id="Rectangle 3" o:spid="_x0000_s1026" style="position:absolute;left:0;text-align:left;margin-left:83.05pt;margin-top:466.95pt;width:18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" filled="f" stroked="f">
                <v:path arrowok="t"/>
                <v:textbox inset="0,0,0,0">
                  <w:txbxContent>
                    <w:p w:rsidR="004804A7" w:rsidRPr="00AC7E06" w:rsidRDefault="004804A7" w:rsidP="004804A7">
                      <w:pPr>
                        <w:pStyle w:val="Paragraphestandard"/>
                        <w:rPr>
                          <w:rFonts w:ascii="Lucida Grande" w:hAnsi="Zapf Dingbats" w:hint="eastAsia"/>
                          <w:color w:val="032375"/>
                        </w:rPr>
                      </w:pPr>
                    </w:p>
                    <w:p w:rsidR="004804A7" w:rsidRDefault="004804A7" w:rsidP="004804A7">
                      <w:pPr>
                        <w:rPr>
                          <w:rFonts w:eastAsia="Times New Roman"/>
                          <w:sz w:val="20"/>
                          <w:lang w:eastAsia="fr-FR" w:bidi="x-none"/>
                        </w:rPr>
                      </w:pPr>
                    </w:p>
                    <w:p w:rsidR="004804A7" w:rsidRDefault="004804A7" w:rsidP="004804A7"/>
                  </w:txbxContent>
                </v:textbox>
                <w10:wrap type="through" anchorx="page" anchory="page"/>
              </v:rect>
            </w:pict>
          </mc:Fallback>
        </mc:AlternateContent>
      </w:r>
      <w:r w:rsidRPr="004804A7">
        <w:rPr>
          <w:rFonts w:ascii="Arial" w:eastAsia="ヒラギノ角ゴ Pro W3" w:hAnsi="Arial" w:cs="Arial"/>
          <w:color w:val="000000"/>
          <w:sz w:val="20"/>
          <w:szCs w:val="20"/>
        </w:rPr>
        <w:t>t.</w:t>
      </w:r>
      <w:r w:rsidRPr="004804A7">
        <w:rPr>
          <w:rFonts w:ascii="Arial" w:eastAsia="ヒラギノ角ゴ Pro W3" w:hAnsi="Arial" w:cs="Times New Roman"/>
          <w:color w:val="000000"/>
          <w:sz w:val="20"/>
          <w:szCs w:val="20"/>
        </w:rPr>
        <w:tab/>
        <w:t xml:space="preserve">  </w:t>
      </w:r>
    </w:p>
    <w:p w:rsidR="004804A7" w:rsidRPr="004804A7" w:rsidRDefault="004804A7" w:rsidP="004804A7">
      <w:pPr>
        <w:tabs>
          <w:tab w:val="left" w:pos="4395"/>
        </w:tabs>
        <w:spacing w:after="0" w:line="280" w:lineRule="exact"/>
        <w:rPr>
          <w:rFonts w:ascii="Arial" w:eastAsia="ヒラギノ角ゴ Pro W3" w:hAnsi="Arial" w:cs="Times New Roman"/>
          <w:color w:val="000000"/>
          <w:sz w:val="20"/>
          <w:szCs w:val="20"/>
        </w:rPr>
      </w:pPr>
    </w:p>
    <w:p w:rsidR="004804A7" w:rsidRPr="004804A7" w:rsidRDefault="004804A7" w:rsidP="004804A7">
      <w:pPr>
        <w:tabs>
          <w:tab w:val="left" w:pos="4395"/>
        </w:tabs>
        <w:spacing w:after="0" w:line="280" w:lineRule="exact"/>
        <w:rPr>
          <w:rFonts w:ascii="Arial" w:eastAsia="ヒラギノ角ゴ Pro W3" w:hAnsi="Arial" w:cs="Times New Roman"/>
          <w:color w:val="000000"/>
          <w:sz w:val="20"/>
          <w:szCs w:val="20"/>
        </w:rPr>
      </w:pPr>
    </w:p>
    <w:p w:rsidR="004804A7" w:rsidRPr="004804A7" w:rsidRDefault="004804A7" w:rsidP="004804A7">
      <w:pPr>
        <w:tabs>
          <w:tab w:val="left" w:pos="4395"/>
        </w:tabs>
        <w:spacing w:after="0" w:line="280" w:lineRule="exact"/>
        <w:rPr>
          <w:rFonts w:ascii="Arial" w:eastAsia="ヒラギノ角ゴ Pro W3" w:hAnsi="Arial" w:cs="Times New Roman"/>
          <w:color w:val="000000"/>
          <w:sz w:val="20"/>
          <w:szCs w:val="20"/>
        </w:rPr>
      </w:pPr>
    </w:p>
    <w:p w:rsidR="00700D3C" w:rsidRDefault="00700D3C"/>
    <w:sectPr w:rsidR="00700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80"/>
    <w:family w:val="swiss"/>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Zapf Dingba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05F73"/>
    <w:multiLevelType w:val="hybridMultilevel"/>
    <w:tmpl w:val="EE62AF5E"/>
    <w:lvl w:ilvl="0" w:tplc="E07EEBBA">
      <w:numFmt w:val="bullet"/>
      <w:lvlText w:val="-"/>
      <w:lvlJc w:val="left"/>
      <w:pPr>
        <w:ind w:left="-2050" w:hanging="360"/>
      </w:pPr>
      <w:rPr>
        <w:rFonts w:ascii="Arial" w:eastAsia="ヒラギノ角ゴ Pro W3" w:hAnsi="Arial" w:cs="Arial"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610" w:hanging="360"/>
      </w:pPr>
      <w:rPr>
        <w:rFonts w:ascii="Wingdings" w:hAnsi="Wingdings" w:hint="default"/>
      </w:rPr>
    </w:lvl>
    <w:lvl w:ilvl="3" w:tplc="040C0001" w:tentative="1">
      <w:start w:val="1"/>
      <w:numFmt w:val="bullet"/>
      <w:lvlText w:val=""/>
      <w:lvlJc w:val="left"/>
      <w:pPr>
        <w:ind w:left="110" w:hanging="360"/>
      </w:pPr>
      <w:rPr>
        <w:rFonts w:ascii="Symbol" w:hAnsi="Symbol" w:hint="default"/>
      </w:rPr>
    </w:lvl>
    <w:lvl w:ilvl="4" w:tplc="040C0003" w:tentative="1">
      <w:start w:val="1"/>
      <w:numFmt w:val="bullet"/>
      <w:lvlText w:val="o"/>
      <w:lvlJc w:val="left"/>
      <w:pPr>
        <w:ind w:left="830" w:hanging="360"/>
      </w:pPr>
      <w:rPr>
        <w:rFonts w:ascii="Courier New" w:hAnsi="Courier New" w:cs="Courier New" w:hint="default"/>
      </w:rPr>
    </w:lvl>
    <w:lvl w:ilvl="5" w:tplc="040C0005" w:tentative="1">
      <w:start w:val="1"/>
      <w:numFmt w:val="bullet"/>
      <w:lvlText w:val=""/>
      <w:lvlJc w:val="left"/>
      <w:pPr>
        <w:ind w:left="1550" w:hanging="360"/>
      </w:pPr>
      <w:rPr>
        <w:rFonts w:ascii="Wingdings" w:hAnsi="Wingdings" w:hint="default"/>
      </w:rPr>
    </w:lvl>
    <w:lvl w:ilvl="6" w:tplc="040C0001" w:tentative="1">
      <w:start w:val="1"/>
      <w:numFmt w:val="bullet"/>
      <w:lvlText w:val=""/>
      <w:lvlJc w:val="left"/>
      <w:pPr>
        <w:ind w:left="2270" w:hanging="360"/>
      </w:pPr>
      <w:rPr>
        <w:rFonts w:ascii="Symbol" w:hAnsi="Symbol" w:hint="default"/>
      </w:rPr>
    </w:lvl>
    <w:lvl w:ilvl="7" w:tplc="040C0003" w:tentative="1">
      <w:start w:val="1"/>
      <w:numFmt w:val="bullet"/>
      <w:lvlText w:val="o"/>
      <w:lvlJc w:val="left"/>
      <w:pPr>
        <w:ind w:left="2990" w:hanging="360"/>
      </w:pPr>
      <w:rPr>
        <w:rFonts w:ascii="Courier New" w:hAnsi="Courier New" w:cs="Courier New" w:hint="default"/>
      </w:rPr>
    </w:lvl>
    <w:lvl w:ilvl="8" w:tplc="040C0005" w:tentative="1">
      <w:start w:val="1"/>
      <w:numFmt w:val="bullet"/>
      <w:lvlText w:val=""/>
      <w:lvlJc w:val="left"/>
      <w:pPr>
        <w:ind w:left="37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A7"/>
    <w:rsid w:val="0025447B"/>
    <w:rsid w:val="004804A7"/>
    <w:rsid w:val="00700D3C"/>
    <w:rsid w:val="00915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A9C6C-3D21-4452-8D21-BB48B964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rsid w:val="004804A7"/>
    <w:pPr>
      <w:widowControl w:val="0"/>
      <w:spacing w:after="0" w:line="288" w:lineRule="auto"/>
    </w:pPr>
    <w:rPr>
      <w:rFonts w:ascii="Times" w:eastAsia="ヒラギノ角ゴ Pro W3" w:hAnsi="Times" w:cs="Times New Roman"/>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ce-Victoria.Ekpo@ac-par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paris.fr" TargetMode="External"/><Relationship Id="rId5" Type="http://schemas.openxmlformats.org/officeDocument/2006/relationships/hyperlink" Target="mailto:pr&#233;nom.nom@ac-pari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4065</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Stamponi</dc:creator>
  <cp:keywords/>
  <dc:description/>
  <cp:lastModifiedBy>Gérard Suss</cp:lastModifiedBy>
  <cp:revision>2</cp:revision>
  <dcterms:created xsi:type="dcterms:W3CDTF">2022-03-01T10:29:00Z</dcterms:created>
  <dcterms:modified xsi:type="dcterms:W3CDTF">2022-03-01T10:29:00Z</dcterms:modified>
</cp:coreProperties>
</file>