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2" w:lineRule="auto"/>
      </w:pPr>
      <w:r>
        <w:rPr>
          <w:color w:val="566FBD"/>
          <w:w w:val="95"/>
        </w:rPr>
        <w:t>Annexe</w:t>
      </w:r>
      <w:r>
        <w:rPr>
          <w:color w:val="566FBD"/>
          <w:spacing w:val="14"/>
          <w:w w:val="95"/>
        </w:rPr>
        <w:t> </w:t>
      </w:r>
      <w:r>
        <w:rPr>
          <w:color w:val="566FBD"/>
          <w:w w:val="95"/>
        </w:rPr>
        <w:t>M14</w:t>
      </w:r>
      <w:r>
        <w:rPr>
          <w:color w:val="566FBD"/>
          <w:spacing w:val="14"/>
          <w:w w:val="95"/>
        </w:rPr>
        <w:t> </w:t>
      </w:r>
      <w:r>
        <w:rPr>
          <w:color w:val="566FBD"/>
          <w:w w:val="95"/>
        </w:rPr>
        <w:t>-</w:t>
      </w:r>
      <w:r>
        <w:rPr>
          <w:color w:val="566FBD"/>
          <w:spacing w:val="14"/>
          <w:w w:val="95"/>
        </w:rPr>
        <w:t> </w:t>
      </w:r>
      <w:r>
        <w:rPr>
          <w:color w:val="566FBD"/>
          <w:w w:val="95"/>
        </w:rPr>
        <w:t>Opérations</w:t>
      </w:r>
      <w:r>
        <w:rPr>
          <w:color w:val="566FBD"/>
          <w:spacing w:val="16"/>
          <w:w w:val="95"/>
        </w:rPr>
        <w:t> </w:t>
      </w:r>
      <w:r>
        <w:rPr>
          <w:color w:val="566FBD"/>
          <w:w w:val="95"/>
        </w:rPr>
        <w:t>de</w:t>
      </w:r>
      <w:r>
        <w:rPr>
          <w:color w:val="566FBD"/>
          <w:spacing w:val="14"/>
          <w:w w:val="95"/>
        </w:rPr>
        <w:t> </w:t>
      </w:r>
      <w:r>
        <w:rPr>
          <w:color w:val="566FBD"/>
          <w:w w:val="95"/>
        </w:rPr>
        <w:t>mutation</w:t>
      </w:r>
      <w:r>
        <w:rPr>
          <w:color w:val="566FBD"/>
          <w:spacing w:val="13"/>
          <w:w w:val="95"/>
        </w:rPr>
        <w:t> </w:t>
      </w:r>
      <w:r>
        <w:rPr>
          <w:color w:val="566FBD"/>
          <w:w w:val="95"/>
        </w:rPr>
        <w:t>déconcentrées</w:t>
      </w:r>
      <w:r>
        <w:rPr>
          <w:color w:val="566FBD"/>
          <w:spacing w:val="16"/>
          <w:w w:val="95"/>
        </w:rPr>
        <w:t> </w:t>
      </w:r>
      <w:r>
        <w:rPr>
          <w:color w:val="566FBD"/>
          <w:w w:val="95"/>
        </w:rPr>
        <w:t>des</w:t>
      </w:r>
      <w:r>
        <w:rPr>
          <w:color w:val="566FBD"/>
          <w:spacing w:val="15"/>
          <w:w w:val="95"/>
        </w:rPr>
        <w:t> </w:t>
      </w:r>
      <w:r>
        <w:rPr>
          <w:color w:val="566FBD"/>
          <w:w w:val="95"/>
        </w:rPr>
        <w:t>adjoints</w:t>
      </w:r>
      <w:r>
        <w:rPr>
          <w:color w:val="566FBD"/>
          <w:spacing w:val="16"/>
          <w:w w:val="95"/>
        </w:rPr>
        <w:t> </w:t>
      </w:r>
      <w:r>
        <w:rPr>
          <w:color w:val="566FBD"/>
          <w:w w:val="95"/>
        </w:rPr>
        <w:t>techniques</w:t>
      </w:r>
      <w:r>
        <w:rPr>
          <w:color w:val="566FBD"/>
          <w:spacing w:val="-64"/>
          <w:w w:val="95"/>
        </w:rPr>
        <w:t> </w:t>
      </w:r>
      <w:r>
        <w:rPr>
          <w:color w:val="566FBD"/>
          <w:w w:val="95"/>
        </w:rPr>
        <w:t>de</w:t>
      </w:r>
      <w:r>
        <w:rPr>
          <w:color w:val="566FBD"/>
          <w:spacing w:val="9"/>
          <w:w w:val="95"/>
        </w:rPr>
        <w:t> </w:t>
      </w:r>
      <w:r>
        <w:rPr>
          <w:color w:val="566FBD"/>
          <w:w w:val="95"/>
        </w:rPr>
        <w:t>recherche</w:t>
      </w:r>
      <w:r>
        <w:rPr>
          <w:color w:val="566FBD"/>
          <w:spacing w:val="10"/>
          <w:w w:val="95"/>
        </w:rPr>
        <w:t> </w:t>
      </w:r>
      <w:r>
        <w:rPr>
          <w:color w:val="566FBD"/>
          <w:w w:val="95"/>
        </w:rPr>
        <w:t>et</w:t>
      </w:r>
      <w:r>
        <w:rPr>
          <w:color w:val="566FBD"/>
          <w:spacing w:val="10"/>
          <w:w w:val="95"/>
        </w:rPr>
        <w:t> </w:t>
      </w:r>
      <w:r>
        <w:rPr>
          <w:color w:val="566FBD"/>
          <w:w w:val="95"/>
        </w:rPr>
        <w:t>formation</w:t>
      </w:r>
      <w:r>
        <w:rPr>
          <w:color w:val="566FBD"/>
          <w:spacing w:val="11"/>
          <w:w w:val="95"/>
        </w:rPr>
        <w:t> </w:t>
      </w:r>
      <w:r>
        <w:rPr>
          <w:color w:val="566FBD"/>
          <w:w w:val="95"/>
        </w:rPr>
        <w:t>(mobilité</w:t>
      </w:r>
      <w:r>
        <w:rPr>
          <w:color w:val="566FBD"/>
          <w:spacing w:val="10"/>
          <w:w w:val="95"/>
        </w:rPr>
        <w:t> </w:t>
      </w:r>
      <w:r>
        <w:rPr>
          <w:color w:val="566FBD"/>
          <w:w w:val="95"/>
        </w:rPr>
        <w:t>enseignement</w:t>
      </w:r>
      <w:r>
        <w:rPr>
          <w:color w:val="566FBD"/>
          <w:spacing w:val="10"/>
          <w:w w:val="95"/>
        </w:rPr>
        <w:t> </w:t>
      </w:r>
      <w:r>
        <w:rPr>
          <w:color w:val="566FBD"/>
          <w:w w:val="95"/>
        </w:rPr>
        <w:t>scolaire</w:t>
      </w:r>
      <w:r>
        <w:rPr>
          <w:color w:val="566FBD"/>
          <w:spacing w:val="10"/>
          <w:w w:val="95"/>
        </w:rPr>
        <w:t> </w:t>
      </w:r>
      <w:r>
        <w:rPr>
          <w:color w:val="566FBD"/>
          <w:w w:val="95"/>
        </w:rPr>
        <w:t>et</w:t>
      </w:r>
      <w:r>
        <w:rPr>
          <w:color w:val="566FBD"/>
          <w:spacing w:val="10"/>
          <w:w w:val="95"/>
        </w:rPr>
        <w:t> </w:t>
      </w:r>
      <w:r>
        <w:rPr>
          <w:color w:val="566FBD"/>
          <w:w w:val="95"/>
        </w:rPr>
        <w:t>enseignement</w:t>
      </w:r>
      <w:r>
        <w:rPr>
          <w:color w:val="566FBD"/>
          <w:spacing w:val="1"/>
          <w:w w:val="95"/>
        </w:rPr>
        <w:t> </w:t>
      </w:r>
      <w:r>
        <w:rPr>
          <w:color w:val="566FBD"/>
        </w:rPr>
        <w:t>supérieur)</w:t>
      </w:r>
    </w:p>
    <w:p>
      <w:pPr>
        <w:pStyle w:val="BodyText"/>
        <w:spacing w:before="11" w:after="1"/>
        <w:ind w:left="0"/>
        <w:rPr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8"/>
        <w:gridCol w:w="1292"/>
        <w:gridCol w:w="1554"/>
        <w:gridCol w:w="1724"/>
        <w:gridCol w:w="1554"/>
        <w:gridCol w:w="1098"/>
      </w:tblGrid>
      <w:tr>
        <w:trPr>
          <w:trHeight w:val="974" w:hRule="atLeast"/>
        </w:trPr>
        <w:tc>
          <w:tcPr>
            <w:tcW w:w="2278" w:type="dxa"/>
          </w:tcPr>
          <w:p>
            <w:pPr>
              <w:pStyle w:val="TableParagraph"/>
              <w:spacing w:before="5"/>
              <w:rPr>
                <w:rFonts w:ascii="Tahoma"/>
                <w:b/>
                <w:sz w:val="29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color w:val="566FBD"/>
                <w:sz w:val="20"/>
              </w:rPr>
              <w:t>Préinscription</w:t>
            </w:r>
          </w:p>
        </w:tc>
        <w:tc>
          <w:tcPr>
            <w:tcW w:w="1292" w:type="dxa"/>
          </w:tcPr>
          <w:p>
            <w:pPr>
              <w:pStyle w:val="TableParagraph"/>
              <w:spacing w:before="113"/>
              <w:ind w:left="69"/>
              <w:rPr>
                <w:sz w:val="20"/>
              </w:rPr>
            </w:pPr>
            <w:r>
              <w:rPr>
                <w:color w:val="566FBD"/>
                <w:w w:val="95"/>
                <w:sz w:val="20"/>
              </w:rPr>
              <w:t>Saisie</w:t>
            </w:r>
            <w:r>
              <w:rPr>
                <w:color w:val="566FBD"/>
                <w:spacing w:val="4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des</w:t>
            </w:r>
            <w:r>
              <w:rPr>
                <w:color w:val="566FBD"/>
                <w:spacing w:val="1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vœux</w:t>
            </w:r>
            <w:r>
              <w:rPr>
                <w:color w:val="566FBD"/>
                <w:spacing w:val="20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dans</w:t>
            </w:r>
            <w:r>
              <w:rPr>
                <w:color w:val="566FBD"/>
                <w:spacing w:val="-64"/>
                <w:w w:val="95"/>
                <w:sz w:val="20"/>
              </w:rPr>
              <w:t> </w:t>
            </w:r>
            <w:r>
              <w:rPr>
                <w:color w:val="566FBD"/>
                <w:sz w:val="20"/>
              </w:rPr>
              <w:t>Amia</w:t>
            </w:r>
          </w:p>
        </w:tc>
        <w:tc>
          <w:tcPr>
            <w:tcW w:w="1554" w:type="dxa"/>
          </w:tcPr>
          <w:p>
            <w:pPr>
              <w:pStyle w:val="TableParagraph"/>
              <w:ind w:left="68" w:right="147"/>
              <w:rPr>
                <w:sz w:val="20"/>
              </w:rPr>
            </w:pPr>
            <w:r>
              <w:rPr>
                <w:color w:val="566FBD"/>
                <w:sz w:val="20"/>
              </w:rPr>
              <w:t>Remontée</w:t>
            </w:r>
            <w:r>
              <w:rPr>
                <w:color w:val="566FBD"/>
                <w:spacing w:val="1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des</w:t>
            </w:r>
            <w:r>
              <w:rPr>
                <w:color w:val="566FBD"/>
                <w:spacing w:val="18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dossiers</w:t>
            </w:r>
            <w:r>
              <w:rPr>
                <w:color w:val="566FBD"/>
                <w:spacing w:val="-63"/>
                <w:w w:val="95"/>
                <w:sz w:val="20"/>
              </w:rPr>
              <w:t> </w:t>
            </w:r>
            <w:r>
              <w:rPr>
                <w:color w:val="566FBD"/>
                <w:sz w:val="20"/>
              </w:rPr>
              <w:t>par</w:t>
            </w:r>
            <w:r>
              <w:rPr>
                <w:color w:val="566FBD"/>
                <w:spacing w:val="-7"/>
                <w:sz w:val="20"/>
              </w:rPr>
              <w:t> </w:t>
            </w:r>
            <w:r>
              <w:rPr>
                <w:color w:val="566FBD"/>
                <w:sz w:val="20"/>
              </w:rPr>
              <w:t>les</w:t>
            </w:r>
          </w:p>
          <w:p>
            <w:pPr>
              <w:pStyle w:val="TableParagraph"/>
              <w:spacing w:line="234" w:lineRule="exact"/>
              <w:ind w:left="68"/>
              <w:rPr>
                <w:sz w:val="20"/>
              </w:rPr>
            </w:pPr>
            <w:r>
              <w:rPr>
                <w:color w:val="566FBD"/>
                <w:sz w:val="20"/>
              </w:rPr>
              <w:t>rectorats</w:t>
            </w:r>
          </w:p>
        </w:tc>
        <w:tc>
          <w:tcPr>
            <w:tcW w:w="1724" w:type="dxa"/>
          </w:tcPr>
          <w:p>
            <w:pPr>
              <w:pStyle w:val="TableParagraph"/>
              <w:ind w:left="67" w:right="175"/>
              <w:rPr>
                <w:sz w:val="20"/>
              </w:rPr>
            </w:pPr>
            <w:r>
              <w:rPr>
                <w:color w:val="566FBD"/>
                <w:sz w:val="20"/>
              </w:rPr>
              <w:t>Étude des</w:t>
            </w:r>
            <w:r>
              <w:rPr>
                <w:color w:val="566FBD"/>
                <w:spacing w:val="1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dossiers</w:t>
            </w:r>
            <w:r>
              <w:rPr>
                <w:color w:val="566FBD"/>
                <w:spacing w:val="19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par</w:t>
            </w:r>
          </w:p>
          <w:p>
            <w:pPr>
              <w:pStyle w:val="TableParagraph"/>
              <w:spacing w:line="242" w:lineRule="exact"/>
              <w:ind w:left="67" w:right="175"/>
              <w:rPr>
                <w:sz w:val="20"/>
              </w:rPr>
            </w:pPr>
            <w:r>
              <w:rPr>
                <w:color w:val="566FBD"/>
                <w:w w:val="95"/>
                <w:sz w:val="20"/>
              </w:rPr>
              <w:t>l’administratio</w:t>
            </w:r>
            <w:r>
              <w:rPr>
                <w:color w:val="566FBD"/>
                <w:spacing w:val="1"/>
                <w:w w:val="95"/>
                <w:sz w:val="20"/>
              </w:rPr>
              <w:t> </w:t>
            </w:r>
            <w:r>
              <w:rPr>
                <w:color w:val="566FBD"/>
                <w:sz w:val="20"/>
              </w:rPr>
              <w:t>n</w:t>
            </w:r>
          </w:p>
        </w:tc>
        <w:tc>
          <w:tcPr>
            <w:tcW w:w="1554" w:type="dxa"/>
          </w:tcPr>
          <w:p>
            <w:pPr>
              <w:pStyle w:val="TableParagraph"/>
              <w:ind w:left="63" w:right="169"/>
              <w:jc w:val="both"/>
              <w:rPr>
                <w:sz w:val="20"/>
              </w:rPr>
            </w:pPr>
            <w:r>
              <w:rPr>
                <w:color w:val="566FBD"/>
                <w:sz w:val="20"/>
              </w:rPr>
              <w:t>Demande de</w:t>
            </w:r>
            <w:r>
              <w:rPr>
                <w:color w:val="566FBD"/>
                <w:spacing w:val="-68"/>
                <w:sz w:val="20"/>
              </w:rPr>
              <w:t> </w:t>
            </w:r>
            <w:r>
              <w:rPr>
                <w:color w:val="566FBD"/>
                <w:sz w:val="20"/>
              </w:rPr>
              <w:t>modification</w:t>
            </w:r>
            <w:r>
              <w:rPr>
                <w:color w:val="566FBD"/>
                <w:spacing w:val="1"/>
                <w:sz w:val="20"/>
              </w:rPr>
              <w:t> </w:t>
            </w:r>
            <w:r>
              <w:rPr>
                <w:color w:val="566FBD"/>
                <w:sz w:val="20"/>
              </w:rPr>
              <w:t>ou</w:t>
            </w:r>
          </w:p>
          <w:p>
            <w:pPr>
              <w:pStyle w:val="TableParagraph"/>
              <w:spacing w:line="234" w:lineRule="exact"/>
              <w:ind w:left="63"/>
              <w:rPr>
                <w:sz w:val="20"/>
              </w:rPr>
            </w:pPr>
            <w:r>
              <w:rPr>
                <w:color w:val="566FBD"/>
                <w:sz w:val="20"/>
              </w:rPr>
              <w:t>d'annulation</w:t>
            </w:r>
          </w:p>
        </w:tc>
        <w:tc>
          <w:tcPr>
            <w:tcW w:w="1098" w:type="dxa"/>
          </w:tcPr>
          <w:p>
            <w:pPr>
              <w:pStyle w:val="TableParagraph"/>
              <w:spacing w:before="5"/>
              <w:rPr>
                <w:rFonts w:ascii="Tahoma"/>
                <w:b/>
                <w:sz w:val="29"/>
              </w:rPr>
            </w:pPr>
          </w:p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color w:val="566FBD"/>
                <w:sz w:val="20"/>
              </w:rPr>
              <w:t>Résultats</w:t>
            </w:r>
          </w:p>
        </w:tc>
      </w:tr>
      <w:tr>
        <w:trPr>
          <w:trHeight w:val="1156" w:hRule="atLeast"/>
        </w:trPr>
        <w:tc>
          <w:tcPr>
            <w:tcW w:w="2278" w:type="dxa"/>
          </w:tcPr>
          <w:p>
            <w:pPr>
              <w:pStyle w:val="TableParagraph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69" w:right="506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color w:val="30849B"/>
                <w:w w:val="95"/>
                <w:sz w:val="18"/>
              </w:rPr>
              <w:t>Jeudi 6 janvier au</w:t>
            </w:r>
            <w:r>
              <w:rPr>
                <w:rFonts w:ascii="Tahoma" w:hAnsi="Tahoma"/>
                <w:b/>
                <w:color w:val="30849B"/>
                <w:spacing w:val="1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color w:val="30849B"/>
                <w:w w:val="95"/>
                <w:sz w:val="18"/>
              </w:rPr>
              <w:t>jeudi</w:t>
            </w:r>
            <w:r>
              <w:rPr>
                <w:rFonts w:ascii="Tahoma" w:hAnsi="Tahoma"/>
                <w:b/>
                <w:color w:val="30849B"/>
                <w:spacing w:val="-8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color w:val="30849B"/>
                <w:w w:val="95"/>
                <w:sz w:val="18"/>
              </w:rPr>
              <w:t>3</w:t>
            </w:r>
            <w:r>
              <w:rPr>
                <w:rFonts w:ascii="Tahoma" w:hAnsi="Tahoma"/>
                <w:b/>
                <w:color w:val="30849B"/>
                <w:spacing w:val="-5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color w:val="30849B"/>
                <w:w w:val="95"/>
                <w:sz w:val="18"/>
              </w:rPr>
              <w:t>février</w:t>
            </w:r>
            <w:r>
              <w:rPr>
                <w:rFonts w:ascii="Tahoma" w:hAnsi="Tahoma"/>
                <w:b/>
                <w:color w:val="30849B"/>
                <w:spacing w:val="-9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color w:val="30849B"/>
                <w:w w:val="95"/>
                <w:sz w:val="18"/>
              </w:rPr>
              <w:t>2022</w:t>
            </w:r>
            <w:r>
              <w:rPr>
                <w:rFonts w:ascii="Tahoma" w:hAnsi="Tahoma"/>
                <w:b/>
                <w:color w:val="30849B"/>
                <w:spacing w:val="-47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color w:val="30849B"/>
                <w:sz w:val="18"/>
              </w:rPr>
              <w:t>inclus</w:t>
            </w:r>
          </w:p>
        </w:tc>
        <w:tc>
          <w:tcPr>
            <w:tcW w:w="7222" w:type="dxa"/>
            <w:gridSpan w:val="5"/>
          </w:tcPr>
          <w:p>
            <w:pPr>
              <w:pStyle w:val="TableParagraph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158"/>
              <w:ind w:left="1321" w:right="1323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w w:val="110"/>
                <w:sz w:val="20"/>
              </w:rPr>
              <w:t>Suivant</w:t>
            </w:r>
            <w:r>
              <w:rPr>
                <w:rFonts w:ascii="Tahoma" w:hAnsi="Tahoma"/>
                <w:spacing w:val="-10"/>
                <w:w w:val="110"/>
                <w:sz w:val="20"/>
              </w:rPr>
              <w:t> </w:t>
            </w:r>
            <w:r>
              <w:rPr>
                <w:rFonts w:ascii="Tahoma" w:hAnsi="Tahoma"/>
                <w:w w:val="110"/>
                <w:sz w:val="20"/>
              </w:rPr>
              <w:t>le</w:t>
            </w:r>
            <w:r>
              <w:rPr>
                <w:rFonts w:ascii="Tahoma" w:hAnsi="Tahoma"/>
                <w:spacing w:val="-7"/>
                <w:w w:val="110"/>
                <w:sz w:val="20"/>
              </w:rPr>
              <w:t> </w:t>
            </w:r>
            <w:r>
              <w:rPr>
                <w:rFonts w:ascii="Tahoma" w:hAnsi="Tahoma"/>
                <w:w w:val="110"/>
                <w:sz w:val="20"/>
              </w:rPr>
              <w:t>calendrier</w:t>
            </w:r>
            <w:r>
              <w:rPr>
                <w:rFonts w:ascii="Tahoma" w:hAnsi="Tahoma"/>
                <w:spacing w:val="-7"/>
                <w:w w:val="110"/>
                <w:sz w:val="20"/>
              </w:rPr>
              <w:t> </w:t>
            </w:r>
            <w:r>
              <w:rPr>
                <w:rFonts w:ascii="Tahoma" w:hAnsi="Tahoma"/>
                <w:w w:val="110"/>
                <w:sz w:val="20"/>
              </w:rPr>
              <w:t>de</w:t>
            </w:r>
            <w:r>
              <w:rPr>
                <w:rFonts w:ascii="Tahoma" w:hAnsi="Tahoma"/>
                <w:spacing w:val="-7"/>
                <w:w w:val="110"/>
                <w:sz w:val="20"/>
              </w:rPr>
              <w:t> </w:t>
            </w:r>
            <w:r>
              <w:rPr>
                <w:rFonts w:ascii="Tahoma" w:hAnsi="Tahoma"/>
                <w:w w:val="110"/>
                <w:sz w:val="20"/>
              </w:rPr>
              <w:t>l’académie</w:t>
            </w:r>
            <w:r>
              <w:rPr>
                <w:rFonts w:ascii="Tahoma" w:hAnsi="Tahoma"/>
                <w:spacing w:val="-10"/>
                <w:w w:val="110"/>
                <w:sz w:val="20"/>
              </w:rPr>
              <w:t> </w:t>
            </w:r>
            <w:r>
              <w:rPr>
                <w:rFonts w:ascii="Tahoma" w:hAnsi="Tahoma"/>
                <w:w w:val="110"/>
                <w:sz w:val="20"/>
              </w:rPr>
              <w:t>demandée*</w:t>
            </w:r>
          </w:p>
        </w:tc>
      </w:tr>
    </w:tbl>
    <w:p>
      <w:pPr>
        <w:spacing w:before="0"/>
        <w:ind w:left="461" w:right="0" w:firstLine="0"/>
        <w:jc w:val="left"/>
        <w:rPr>
          <w:b/>
          <w:sz w:val="20"/>
        </w:rPr>
      </w:pPr>
      <w:r>
        <w:rPr>
          <w:b/>
          <w:w w:val="95"/>
          <w:sz w:val="20"/>
        </w:rPr>
        <w:t>*calendrier</w:t>
      </w:r>
      <w:r>
        <w:rPr>
          <w:b/>
          <w:spacing w:val="16"/>
          <w:w w:val="95"/>
          <w:sz w:val="20"/>
        </w:rPr>
        <w:t> </w:t>
      </w:r>
      <w:r>
        <w:rPr>
          <w:b/>
          <w:w w:val="95"/>
          <w:sz w:val="20"/>
        </w:rPr>
        <w:t>identique</w:t>
      </w:r>
      <w:r>
        <w:rPr>
          <w:b/>
          <w:spacing w:val="12"/>
          <w:w w:val="95"/>
          <w:sz w:val="20"/>
        </w:rPr>
        <w:t> </w:t>
      </w:r>
      <w:r>
        <w:rPr>
          <w:b/>
          <w:w w:val="95"/>
          <w:sz w:val="20"/>
        </w:rPr>
        <w:t>à</w:t>
      </w:r>
      <w:r>
        <w:rPr>
          <w:b/>
          <w:spacing w:val="16"/>
          <w:w w:val="95"/>
          <w:sz w:val="20"/>
        </w:rPr>
        <w:t> </w:t>
      </w:r>
      <w:r>
        <w:rPr>
          <w:b/>
          <w:w w:val="95"/>
          <w:sz w:val="20"/>
        </w:rPr>
        <w:t>celui</w:t>
      </w:r>
      <w:r>
        <w:rPr>
          <w:b/>
          <w:spacing w:val="15"/>
          <w:w w:val="95"/>
          <w:sz w:val="20"/>
        </w:rPr>
        <w:t> </w:t>
      </w:r>
      <w:r>
        <w:rPr>
          <w:b/>
          <w:w w:val="95"/>
          <w:sz w:val="20"/>
        </w:rPr>
        <w:t>du</w:t>
      </w:r>
      <w:r>
        <w:rPr>
          <w:b/>
          <w:spacing w:val="15"/>
          <w:w w:val="95"/>
          <w:sz w:val="20"/>
        </w:rPr>
        <w:t> </w:t>
      </w:r>
      <w:r>
        <w:rPr>
          <w:b/>
          <w:w w:val="95"/>
          <w:sz w:val="20"/>
        </w:rPr>
        <w:t>mouvement</w:t>
      </w:r>
      <w:r>
        <w:rPr>
          <w:b/>
          <w:spacing w:val="14"/>
          <w:w w:val="95"/>
          <w:sz w:val="20"/>
        </w:rPr>
        <w:t> </w:t>
      </w:r>
      <w:r>
        <w:rPr>
          <w:b/>
          <w:w w:val="95"/>
          <w:sz w:val="20"/>
        </w:rPr>
        <w:t>déconcentré</w:t>
      </w:r>
      <w:r>
        <w:rPr>
          <w:b/>
          <w:spacing w:val="14"/>
          <w:w w:val="95"/>
          <w:sz w:val="20"/>
        </w:rPr>
        <w:t> </w:t>
      </w:r>
      <w:r>
        <w:rPr>
          <w:b/>
          <w:w w:val="95"/>
          <w:sz w:val="20"/>
        </w:rPr>
        <w:t>des</w:t>
      </w:r>
      <w:r>
        <w:rPr>
          <w:b/>
          <w:spacing w:val="15"/>
          <w:w w:val="95"/>
          <w:sz w:val="20"/>
        </w:rPr>
        <w:t> </w:t>
      </w:r>
      <w:r>
        <w:rPr>
          <w:b/>
          <w:w w:val="95"/>
          <w:sz w:val="20"/>
        </w:rPr>
        <w:t>ADJAENES.</w:t>
      </w:r>
    </w:p>
    <w:p>
      <w:pPr>
        <w:pStyle w:val="BodyText"/>
        <w:spacing w:before="9"/>
        <w:ind w:left="0"/>
        <w:rPr>
          <w:b/>
          <w:sz w:val="21"/>
        </w:rPr>
      </w:pPr>
    </w:p>
    <w:p>
      <w:pPr>
        <w:spacing w:before="1"/>
        <w:ind w:left="461" w:right="0" w:firstLine="0"/>
        <w:jc w:val="left"/>
        <w:rPr>
          <w:sz w:val="22"/>
        </w:rPr>
      </w:pPr>
      <w:r>
        <w:rPr>
          <w:b/>
          <w:color w:val="30849B"/>
          <w:sz w:val="22"/>
        </w:rPr>
        <w:t>Accès</w:t>
      </w:r>
      <w:r>
        <w:rPr>
          <w:b/>
          <w:color w:val="30849B"/>
          <w:spacing w:val="68"/>
          <w:sz w:val="22"/>
        </w:rPr>
        <w:t> </w:t>
      </w:r>
      <w:r>
        <w:rPr>
          <w:b/>
          <w:color w:val="30849B"/>
          <w:sz w:val="22"/>
        </w:rPr>
        <w:t>Amia</w:t>
      </w:r>
      <w:r>
        <w:rPr>
          <w:b/>
          <w:color w:val="30849B"/>
          <w:spacing w:val="46"/>
          <w:sz w:val="22"/>
        </w:rPr>
        <w:t> </w:t>
      </w:r>
      <w:r>
        <w:rPr>
          <w:b/>
          <w:color w:val="30849B"/>
          <w:sz w:val="22"/>
        </w:rPr>
        <w:t>:</w:t>
      </w:r>
      <w:r>
        <w:rPr>
          <w:b/>
          <w:color w:val="30849B"/>
          <w:spacing w:val="73"/>
          <w:sz w:val="22"/>
        </w:rPr>
        <w:t> </w:t>
      </w:r>
      <w:hyperlink r:id="rId7">
        <w:r>
          <w:rPr>
            <w:color w:val="0000FF"/>
            <w:sz w:val="22"/>
            <w:u w:val="single" w:color="0000FF"/>
          </w:rPr>
          <w:t>https://amia.phm.education.gouv.fr</w:t>
        </w:r>
      </w:hyperlink>
    </w:p>
    <w:p>
      <w:pPr>
        <w:pStyle w:val="BodyText"/>
        <w:spacing w:before="1"/>
        <w:ind w:left="0"/>
        <w:rPr>
          <w:sz w:val="15"/>
        </w:rPr>
      </w:pPr>
    </w:p>
    <w:p>
      <w:pPr>
        <w:pStyle w:val="BodyText"/>
        <w:spacing w:before="93"/>
        <w:ind w:left="461"/>
      </w:pPr>
      <w:r>
        <w:rPr>
          <w:w w:val="105"/>
        </w:rPr>
        <w:t>Pour</w:t>
      </w:r>
      <w:r>
        <w:rPr>
          <w:spacing w:val="11"/>
          <w:w w:val="105"/>
        </w:rPr>
        <w:t> </w:t>
      </w:r>
      <w:r>
        <w:rPr>
          <w:w w:val="105"/>
        </w:rPr>
        <w:t>s’identifier,</w:t>
      </w:r>
      <w:r>
        <w:rPr>
          <w:spacing w:val="13"/>
          <w:w w:val="105"/>
        </w:rPr>
        <w:t> </w:t>
      </w:r>
      <w:r>
        <w:rPr>
          <w:w w:val="105"/>
        </w:rPr>
        <w:t>l’agent</w:t>
      </w:r>
      <w:r>
        <w:rPr>
          <w:spacing w:val="15"/>
          <w:w w:val="105"/>
        </w:rPr>
        <w:t> </w:t>
      </w:r>
      <w:r>
        <w:rPr>
          <w:w w:val="105"/>
        </w:rPr>
        <w:t>doit</w:t>
      </w:r>
      <w:r>
        <w:rPr>
          <w:spacing w:val="12"/>
          <w:w w:val="105"/>
        </w:rPr>
        <w:t> </w:t>
      </w:r>
      <w:r>
        <w:rPr>
          <w:w w:val="105"/>
        </w:rPr>
        <w:t>saisir</w:t>
      </w:r>
      <w:r>
        <w:rPr>
          <w:spacing w:val="1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0" w:lineRule="auto" w:before="132" w:after="0"/>
        <w:ind w:left="1880" w:right="0" w:hanging="361"/>
        <w:jc w:val="left"/>
        <w:rPr>
          <w:sz w:val="20"/>
        </w:rPr>
      </w:pPr>
      <w:r>
        <w:rPr>
          <w:b/>
          <w:w w:val="95"/>
          <w:sz w:val="20"/>
        </w:rPr>
        <w:t>son</w:t>
      </w:r>
      <w:r>
        <w:rPr>
          <w:b/>
          <w:spacing w:val="11"/>
          <w:w w:val="95"/>
          <w:sz w:val="20"/>
        </w:rPr>
        <w:t> </w:t>
      </w:r>
      <w:r>
        <w:rPr>
          <w:b/>
          <w:w w:val="95"/>
          <w:sz w:val="20"/>
        </w:rPr>
        <w:t>Numen</w:t>
      </w:r>
      <w:r>
        <w:rPr>
          <w:b/>
          <w:spacing w:val="11"/>
          <w:w w:val="95"/>
          <w:sz w:val="20"/>
        </w:rPr>
        <w:t> </w:t>
      </w:r>
      <w:r>
        <w:rPr>
          <w:w w:val="95"/>
          <w:sz w:val="20"/>
        </w:rPr>
        <w:t>=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login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0" w:lineRule="auto" w:before="129" w:after="0"/>
        <w:ind w:left="1880" w:right="478" w:hanging="360"/>
        <w:jc w:val="left"/>
        <w:rPr>
          <w:sz w:val="20"/>
        </w:rPr>
      </w:pPr>
      <w:r>
        <w:rPr>
          <w:b/>
          <w:w w:val="105"/>
          <w:sz w:val="20"/>
        </w:rPr>
        <w:t>sa date de naissance </w:t>
      </w:r>
      <w:r>
        <w:rPr>
          <w:w w:val="105"/>
          <w:sz w:val="20"/>
        </w:rPr>
        <w:t>sous la forme JJ/MM/AAA A= mot de passe. Lors de la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première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connexion,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l’agent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devra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alors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saisir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un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nouveau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mot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passe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et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le</w:t>
      </w:r>
      <w:r>
        <w:rPr>
          <w:spacing w:val="-66"/>
          <w:w w:val="110"/>
          <w:sz w:val="20"/>
        </w:rPr>
        <w:t> </w:t>
      </w:r>
      <w:r>
        <w:rPr>
          <w:w w:val="110"/>
          <w:sz w:val="20"/>
        </w:rPr>
        <w:t>confirmer.</w:t>
      </w:r>
    </w:p>
    <w:p>
      <w:pPr>
        <w:pStyle w:val="BodyText"/>
        <w:spacing w:before="125"/>
        <w:ind w:left="461"/>
      </w:pPr>
      <w:r>
        <w:rPr>
          <w:w w:val="105"/>
        </w:rPr>
        <w:t>L’outil</w:t>
      </w:r>
      <w:r>
        <w:rPr>
          <w:spacing w:val="19"/>
          <w:w w:val="105"/>
        </w:rPr>
        <w:t> </w:t>
      </w:r>
      <w:r>
        <w:rPr>
          <w:w w:val="105"/>
        </w:rPr>
        <w:t>Amia</w:t>
      </w:r>
      <w:r>
        <w:rPr>
          <w:spacing w:val="17"/>
          <w:w w:val="105"/>
        </w:rPr>
        <w:t> </w:t>
      </w:r>
      <w:r>
        <w:rPr>
          <w:w w:val="105"/>
        </w:rPr>
        <w:t>rénové</w:t>
      </w:r>
      <w:r>
        <w:rPr>
          <w:spacing w:val="14"/>
          <w:w w:val="105"/>
        </w:rPr>
        <w:t> </w:t>
      </w:r>
      <w:r>
        <w:rPr>
          <w:w w:val="105"/>
        </w:rPr>
        <w:t>permet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Heading1"/>
      </w:pPr>
      <w:r>
        <w:rPr>
          <w:color w:val="566FBD"/>
          <w:w w:val="95"/>
        </w:rPr>
        <w:t>A.</w:t>
      </w:r>
      <w:r>
        <w:rPr>
          <w:color w:val="566FBD"/>
          <w:spacing w:val="2"/>
          <w:w w:val="95"/>
        </w:rPr>
        <w:t> </w:t>
      </w:r>
      <w:r>
        <w:rPr>
          <w:color w:val="566FBD"/>
          <w:w w:val="95"/>
        </w:rPr>
        <w:t>aux</w:t>
      </w:r>
      <w:r>
        <w:rPr>
          <w:color w:val="566FBD"/>
          <w:spacing w:val="3"/>
          <w:w w:val="95"/>
        </w:rPr>
        <w:t> </w:t>
      </w:r>
      <w:r>
        <w:rPr>
          <w:color w:val="566FBD"/>
          <w:w w:val="95"/>
        </w:rPr>
        <w:t>établissements d’enseignement supérieur</w:t>
      </w:r>
      <w:r>
        <w:rPr>
          <w:color w:val="566FBD"/>
          <w:spacing w:val="-9"/>
          <w:w w:val="95"/>
        </w:rPr>
        <w:t> </w:t>
      </w:r>
      <w:r>
        <w:rPr>
          <w:color w:val="566FBD"/>
          <w:w w:val="95"/>
        </w:rPr>
        <w:t>:</w:t>
      </w:r>
    </w:p>
    <w:p>
      <w:pPr>
        <w:pStyle w:val="ListParagraph"/>
        <w:numPr>
          <w:ilvl w:val="0"/>
          <w:numId w:val="2"/>
        </w:numPr>
        <w:tabs>
          <w:tab w:pos="1879" w:val="left" w:leader="none"/>
          <w:tab w:pos="1880" w:val="left" w:leader="none"/>
        </w:tabs>
        <w:spacing w:line="240" w:lineRule="auto" w:before="225" w:after="0"/>
        <w:ind w:left="1879" w:right="0" w:hanging="360"/>
        <w:jc w:val="left"/>
        <w:rPr>
          <w:sz w:val="20"/>
        </w:rPr>
      </w:pPr>
      <w:r>
        <w:rPr>
          <w:w w:val="105"/>
          <w:sz w:val="20"/>
        </w:rPr>
        <w:t>définir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les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supports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vacants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ou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susceptibles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postes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profilés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;</w:t>
      </w:r>
    </w:p>
    <w:p>
      <w:pPr>
        <w:pStyle w:val="ListParagraph"/>
        <w:numPr>
          <w:ilvl w:val="0"/>
          <w:numId w:val="2"/>
        </w:numPr>
        <w:tabs>
          <w:tab w:pos="1879" w:val="left" w:leader="none"/>
          <w:tab w:pos="1880" w:val="left" w:leader="none"/>
        </w:tabs>
        <w:spacing w:line="240" w:lineRule="auto" w:before="5" w:after="0"/>
        <w:ind w:left="1879" w:right="0" w:hanging="361"/>
        <w:jc w:val="left"/>
        <w:rPr>
          <w:sz w:val="20"/>
        </w:rPr>
      </w:pPr>
      <w:r>
        <w:rPr>
          <w:w w:val="110"/>
          <w:sz w:val="20"/>
        </w:rPr>
        <w:t>charger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les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fiches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postes,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au</w:t>
      </w:r>
      <w:r>
        <w:rPr>
          <w:spacing w:val="-15"/>
          <w:w w:val="110"/>
          <w:sz w:val="20"/>
        </w:rPr>
        <w:t> </w:t>
      </w:r>
      <w:r>
        <w:rPr>
          <w:w w:val="110"/>
          <w:sz w:val="20"/>
        </w:rPr>
        <w:t>format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PDF,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pour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chacun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des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postes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profilés</w:t>
      </w:r>
      <w:r>
        <w:rPr>
          <w:spacing w:val="-20"/>
          <w:w w:val="110"/>
          <w:sz w:val="20"/>
        </w:rPr>
        <w:t> </w:t>
      </w:r>
      <w:r>
        <w:rPr>
          <w:w w:val="105"/>
          <w:sz w:val="20"/>
        </w:rPr>
        <w:t>;</w:t>
      </w:r>
    </w:p>
    <w:p>
      <w:pPr>
        <w:pStyle w:val="ListParagraph"/>
        <w:numPr>
          <w:ilvl w:val="0"/>
          <w:numId w:val="2"/>
        </w:numPr>
        <w:tabs>
          <w:tab w:pos="1879" w:val="left" w:leader="none"/>
          <w:tab w:pos="1880" w:val="left" w:leader="none"/>
        </w:tabs>
        <w:spacing w:line="240" w:lineRule="auto" w:before="5" w:after="0"/>
        <w:ind w:left="1879" w:right="0" w:hanging="361"/>
        <w:jc w:val="left"/>
        <w:rPr>
          <w:sz w:val="20"/>
        </w:rPr>
      </w:pPr>
      <w:r>
        <w:rPr>
          <w:w w:val="105"/>
          <w:sz w:val="20"/>
        </w:rPr>
        <w:t>visualiser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les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dossiers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des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agents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ATRF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leur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établissement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;</w:t>
      </w:r>
    </w:p>
    <w:p>
      <w:pPr>
        <w:pStyle w:val="ListParagraph"/>
        <w:numPr>
          <w:ilvl w:val="0"/>
          <w:numId w:val="2"/>
        </w:numPr>
        <w:tabs>
          <w:tab w:pos="1879" w:val="left" w:leader="none"/>
          <w:tab w:pos="1880" w:val="left" w:leader="none"/>
        </w:tabs>
        <w:spacing w:line="242" w:lineRule="auto" w:before="2" w:after="0"/>
        <w:ind w:left="1879" w:right="567" w:hanging="360"/>
        <w:jc w:val="left"/>
        <w:rPr>
          <w:sz w:val="20"/>
        </w:rPr>
      </w:pPr>
      <w:r>
        <w:rPr>
          <w:w w:val="105"/>
          <w:sz w:val="20"/>
        </w:rPr>
        <w:t>visualiser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tous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les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candidats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sur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les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postes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définis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postes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profilés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par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leur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établissement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;</w:t>
      </w:r>
    </w:p>
    <w:p>
      <w:pPr>
        <w:pStyle w:val="ListParagraph"/>
        <w:numPr>
          <w:ilvl w:val="0"/>
          <w:numId w:val="2"/>
        </w:numPr>
        <w:tabs>
          <w:tab w:pos="1879" w:val="left" w:leader="none"/>
          <w:tab w:pos="1880" w:val="left" w:leader="none"/>
        </w:tabs>
        <w:spacing w:line="240" w:lineRule="auto" w:before="1" w:after="0"/>
        <w:ind w:left="1879" w:right="0" w:hanging="361"/>
        <w:jc w:val="left"/>
        <w:rPr>
          <w:sz w:val="20"/>
        </w:rPr>
      </w:pPr>
      <w:r>
        <w:rPr>
          <w:w w:val="110"/>
          <w:sz w:val="20"/>
        </w:rPr>
        <w:t>saisir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l’ordre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des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agents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retenus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sur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chaque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poste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profilé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leur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établissement.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190"/>
      </w:pPr>
      <w:r>
        <w:rPr>
          <w:color w:val="566FBD"/>
          <w:w w:val="90"/>
        </w:rPr>
        <w:t>B</w:t>
      </w:r>
      <w:r>
        <w:rPr>
          <w:color w:val="566FBD"/>
          <w:spacing w:val="15"/>
          <w:w w:val="90"/>
        </w:rPr>
        <w:t> </w:t>
      </w:r>
      <w:r>
        <w:rPr>
          <w:color w:val="566FBD"/>
          <w:w w:val="90"/>
        </w:rPr>
        <w:t>-</w:t>
      </w:r>
      <w:r>
        <w:rPr>
          <w:color w:val="566FBD"/>
          <w:spacing w:val="14"/>
          <w:w w:val="90"/>
        </w:rPr>
        <w:t> </w:t>
      </w:r>
      <w:r>
        <w:rPr>
          <w:color w:val="566FBD"/>
          <w:w w:val="90"/>
        </w:rPr>
        <w:t>aux</w:t>
      </w:r>
      <w:r>
        <w:rPr>
          <w:color w:val="566FBD"/>
          <w:spacing w:val="13"/>
          <w:w w:val="90"/>
        </w:rPr>
        <w:t> </w:t>
      </w:r>
      <w:r>
        <w:rPr>
          <w:color w:val="566FBD"/>
          <w:w w:val="90"/>
        </w:rPr>
        <w:t>rectorats</w:t>
      </w:r>
      <w:r>
        <w:rPr>
          <w:color w:val="566FBD"/>
          <w:spacing w:val="3"/>
          <w:w w:val="90"/>
        </w:rPr>
        <w:t> </w:t>
      </w:r>
      <w:r>
        <w:rPr>
          <w:color w:val="566FBD"/>
          <w:w w:val="90"/>
        </w:rPr>
        <w:t>:</w:t>
      </w:r>
    </w:p>
    <w:p>
      <w:pPr>
        <w:pStyle w:val="ListParagraph"/>
        <w:numPr>
          <w:ilvl w:val="0"/>
          <w:numId w:val="2"/>
        </w:numPr>
        <w:tabs>
          <w:tab w:pos="1879" w:val="left" w:leader="none"/>
          <w:tab w:pos="1880" w:val="left" w:leader="none"/>
        </w:tabs>
        <w:spacing w:line="240" w:lineRule="auto" w:before="227" w:after="0"/>
        <w:ind w:left="1879" w:right="0" w:hanging="360"/>
        <w:jc w:val="left"/>
        <w:rPr>
          <w:sz w:val="20"/>
        </w:rPr>
      </w:pPr>
      <w:r>
        <w:rPr>
          <w:w w:val="105"/>
          <w:sz w:val="20"/>
        </w:rPr>
        <w:t>visualiser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et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intervenir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sur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l’application</w:t>
      </w:r>
      <w:r>
        <w:rPr>
          <w:spacing w:val="21"/>
          <w:w w:val="105"/>
          <w:sz w:val="20"/>
        </w:rPr>
        <w:t> </w:t>
      </w:r>
      <w:r>
        <w:rPr>
          <w:sz w:val="20"/>
        </w:rPr>
        <w:t>«</w:t>
      </w:r>
      <w:r>
        <w:rPr>
          <w:spacing w:val="8"/>
          <w:sz w:val="20"/>
        </w:rPr>
        <w:t> </w:t>
      </w:r>
      <w:r>
        <w:rPr>
          <w:w w:val="105"/>
          <w:sz w:val="20"/>
        </w:rPr>
        <w:t>Amia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Gestionnaire</w:t>
      </w:r>
      <w:r>
        <w:rPr>
          <w:spacing w:val="3"/>
          <w:w w:val="105"/>
          <w:sz w:val="20"/>
        </w:rPr>
        <w:t> </w:t>
      </w:r>
      <w:r>
        <w:rPr>
          <w:sz w:val="20"/>
        </w:rPr>
        <w:t>»</w:t>
      </w:r>
      <w:r>
        <w:rPr>
          <w:spacing w:val="8"/>
          <w:sz w:val="20"/>
        </w:rPr>
        <w:t> </w:t>
      </w:r>
      <w:r>
        <w:rPr>
          <w:w w:val="105"/>
          <w:sz w:val="20"/>
        </w:rPr>
        <w:t>;</w:t>
      </w:r>
    </w:p>
    <w:p>
      <w:pPr>
        <w:pStyle w:val="ListParagraph"/>
        <w:numPr>
          <w:ilvl w:val="0"/>
          <w:numId w:val="2"/>
        </w:numPr>
        <w:tabs>
          <w:tab w:pos="1879" w:val="left" w:leader="none"/>
          <w:tab w:pos="1880" w:val="left" w:leader="none"/>
        </w:tabs>
        <w:spacing w:line="240" w:lineRule="auto" w:before="3" w:after="0"/>
        <w:ind w:left="1879" w:right="0" w:hanging="360"/>
        <w:jc w:val="left"/>
        <w:rPr>
          <w:sz w:val="20"/>
        </w:rPr>
      </w:pPr>
      <w:r>
        <w:rPr>
          <w:w w:val="110"/>
          <w:sz w:val="20"/>
        </w:rPr>
        <w:t>charger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totalité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des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agents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titulaires.</w:t>
      </w:r>
    </w:p>
    <w:p>
      <w:pPr>
        <w:pStyle w:val="BodyText"/>
        <w:spacing w:before="2"/>
        <w:ind w:left="0"/>
      </w:pPr>
    </w:p>
    <w:p>
      <w:pPr>
        <w:pStyle w:val="Heading1"/>
      </w:pPr>
      <w:r>
        <w:rPr>
          <w:color w:val="566FBD"/>
          <w:w w:val="90"/>
        </w:rPr>
        <w:t>C</w:t>
      </w:r>
      <w:r>
        <w:rPr>
          <w:color w:val="566FBD"/>
          <w:spacing w:val="10"/>
          <w:w w:val="90"/>
        </w:rPr>
        <w:t> </w:t>
      </w:r>
      <w:r>
        <w:rPr>
          <w:color w:val="566FBD"/>
          <w:w w:val="90"/>
        </w:rPr>
        <w:t>-</w:t>
      </w:r>
      <w:r>
        <w:rPr>
          <w:color w:val="566FBD"/>
          <w:spacing w:val="11"/>
          <w:w w:val="90"/>
        </w:rPr>
        <w:t> </w:t>
      </w:r>
      <w:r>
        <w:rPr>
          <w:color w:val="566FBD"/>
          <w:w w:val="90"/>
        </w:rPr>
        <w:t>aux</w:t>
      </w:r>
      <w:r>
        <w:rPr>
          <w:color w:val="566FBD"/>
          <w:spacing w:val="11"/>
          <w:w w:val="90"/>
        </w:rPr>
        <w:t> </w:t>
      </w:r>
      <w:r>
        <w:rPr>
          <w:color w:val="566FBD"/>
          <w:w w:val="90"/>
        </w:rPr>
        <w:t>agents</w:t>
      </w:r>
      <w:r>
        <w:rPr>
          <w:color w:val="566FBD"/>
          <w:spacing w:val="-2"/>
          <w:w w:val="90"/>
        </w:rPr>
        <w:t> </w:t>
      </w:r>
      <w:r>
        <w:rPr>
          <w:color w:val="566FBD"/>
          <w:w w:val="90"/>
        </w:rPr>
        <w:t>:</w:t>
      </w:r>
    </w:p>
    <w:p>
      <w:pPr>
        <w:pStyle w:val="BodyText"/>
        <w:spacing w:before="225"/>
        <w:ind w:left="1171"/>
      </w:pPr>
      <w:r>
        <w:rPr>
          <w:w w:val="105"/>
          <w:u w:val="single"/>
        </w:rPr>
        <w:t>souhaitant</w:t>
      </w:r>
      <w:r>
        <w:rPr>
          <w:spacing w:val="23"/>
          <w:w w:val="105"/>
          <w:u w:val="single"/>
        </w:rPr>
        <w:t> </w:t>
      </w:r>
      <w:r>
        <w:rPr>
          <w:w w:val="105"/>
          <w:u w:val="single"/>
        </w:rPr>
        <w:t>changer</w:t>
      </w:r>
      <w:r>
        <w:rPr>
          <w:spacing w:val="28"/>
          <w:w w:val="105"/>
          <w:u w:val="single"/>
        </w:rPr>
        <w:t> </w:t>
      </w:r>
      <w:r>
        <w:rPr>
          <w:w w:val="105"/>
          <w:u w:val="single"/>
        </w:rPr>
        <w:t>d’académie</w:t>
      </w:r>
      <w:r>
        <w:rPr>
          <w:spacing w:val="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879" w:val="left" w:leader="none"/>
          <w:tab w:pos="1880" w:val="left" w:leader="none"/>
        </w:tabs>
        <w:spacing w:line="244" w:lineRule="auto" w:before="1" w:after="0"/>
        <w:ind w:left="1879" w:right="377" w:hanging="360"/>
        <w:jc w:val="left"/>
        <w:rPr>
          <w:sz w:val="20"/>
        </w:rPr>
      </w:pPr>
      <w:r>
        <w:rPr>
          <w:w w:val="105"/>
          <w:sz w:val="20"/>
        </w:rPr>
        <w:t>se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préinscrire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dans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période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pré-inscription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définie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par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note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service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DGRH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(cf tableau ci-dessus)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choisissant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au maximum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3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académies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1879" w:val="left" w:leader="none"/>
          <w:tab w:pos="1880" w:val="left" w:leader="none"/>
        </w:tabs>
        <w:spacing w:line="242" w:lineRule="auto" w:before="0" w:after="0"/>
        <w:ind w:left="1879" w:right="1046" w:hanging="360"/>
        <w:jc w:val="left"/>
        <w:rPr>
          <w:sz w:val="20"/>
        </w:rPr>
      </w:pPr>
      <w:r>
        <w:rPr>
          <w:w w:val="105"/>
          <w:sz w:val="20"/>
        </w:rPr>
        <w:t>participer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à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campagne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mutation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chaque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académie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selon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leurs</w:t>
      </w:r>
      <w:r>
        <w:rPr>
          <w:spacing w:val="-62"/>
          <w:w w:val="105"/>
          <w:sz w:val="20"/>
        </w:rPr>
        <w:t> </w:t>
      </w:r>
      <w:r>
        <w:rPr>
          <w:w w:val="105"/>
          <w:sz w:val="20"/>
        </w:rPr>
        <w:t>plannings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respectifs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1879" w:val="left" w:leader="none"/>
          <w:tab w:pos="1880" w:val="left" w:leader="none"/>
        </w:tabs>
        <w:spacing w:line="240" w:lineRule="auto" w:before="0" w:after="0"/>
        <w:ind w:left="1879" w:right="0" w:hanging="360"/>
        <w:jc w:val="left"/>
        <w:rPr>
          <w:sz w:val="20"/>
        </w:rPr>
      </w:pPr>
      <w:r>
        <w:rPr>
          <w:w w:val="105"/>
          <w:sz w:val="20"/>
        </w:rPr>
        <w:t>saisir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leurs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vœux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(maximum 6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vœux).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99"/>
        <w:ind w:left="1171"/>
      </w:pPr>
      <w:r>
        <w:rPr>
          <w:w w:val="105"/>
          <w:u w:val="single"/>
        </w:rPr>
        <w:t>souhaitant</w:t>
      </w:r>
      <w:r>
        <w:rPr>
          <w:spacing w:val="23"/>
          <w:w w:val="105"/>
          <w:u w:val="single"/>
        </w:rPr>
        <w:t> </w:t>
      </w:r>
      <w:r>
        <w:rPr>
          <w:w w:val="105"/>
          <w:u w:val="single"/>
        </w:rPr>
        <w:t>effectuer</w:t>
      </w:r>
      <w:r>
        <w:rPr>
          <w:spacing w:val="28"/>
          <w:w w:val="105"/>
          <w:u w:val="single"/>
        </w:rPr>
        <w:t> </w:t>
      </w:r>
      <w:r>
        <w:rPr>
          <w:w w:val="105"/>
          <w:u w:val="single"/>
        </w:rPr>
        <w:t>une</w:t>
      </w:r>
      <w:r>
        <w:rPr>
          <w:spacing w:val="30"/>
          <w:w w:val="105"/>
          <w:u w:val="single"/>
        </w:rPr>
        <w:t> </w:t>
      </w:r>
      <w:r>
        <w:rPr>
          <w:w w:val="105"/>
          <w:u w:val="single"/>
        </w:rPr>
        <w:t>mobilité</w:t>
      </w:r>
      <w:r>
        <w:rPr>
          <w:spacing w:val="23"/>
          <w:w w:val="105"/>
          <w:u w:val="single"/>
        </w:rPr>
        <w:t> </w:t>
      </w:r>
      <w:r>
        <w:rPr>
          <w:w w:val="105"/>
          <w:u w:val="single"/>
        </w:rPr>
        <w:t>sans</w:t>
      </w:r>
      <w:r>
        <w:rPr>
          <w:spacing w:val="29"/>
          <w:w w:val="105"/>
          <w:u w:val="single"/>
        </w:rPr>
        <w:t> </w:t>
      </w:r>
      <w:r>
        <w:rPr>
          <w:w w:val="105"/>
          <w:u w:val="single"/>
        </w:rPr>
        <w:t>changer</w:t>
      </w:r>
      <w:r>
        <w:rPr>
          <w:spacing w:val="27"/>
          <w:w w:val="105"/>
          <w:u w:val="single"/>
        </w:rPr>
        <w:t> </w:t>
      </w:r>
      <w:r>
        <w:rPr>
          <w:w w:val="105"/>
          <w:u w:val="single"/>
        </w:rPr>
        <w:t>d’académie</w:t>
      </w:r>
      <w:r>
        <w:rPr>
          <w:spacing w:val="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6"/>
        <w:ind w:left="0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1879" w:val="left" w:leader="none"/>
          <w:tab w:pos="1880" w:val="left" w:leader="none"/>
        </w:tabs>
        <w:spacing w:line="278" w:lineRule="auto" w:before="93" w:after="0"/>
        <w:ind w:left="1879" w:right="443" w:hanging="360"/>
        <w:jc w:val="left"/>
        <w:rPr>
          <w:sz w:val="20"/>
        </w:rPr>
      </w:pPr>
      <w:r>
        <w:rPr>
          <w:w w:val="110"/>
          <w:sz w:val="20"/>
        </w:rPr>
        <w:t>participer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à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campagne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mutation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dans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leur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académie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selon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le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calendrier</w:t>
      </w:r>
      <w:r>
        <w:rPr>
          <w:spacing w:val="-65"/>
          <w:w w:val="110"/>
          <w:sz w:val="20"/>
        </w:rPr>
        <w:t> </w:t>
      </w:r>
      <w:r>
        <w:rPr>
          <w:w w:val="110"/>
          <w:sz w:val="20"/>
        </w:rPr>
        <w:t>défini</w:t>
      </w:r>
      <w:r>
        <w:rPr>
          <w:spacing w:val="-17"/>
          <w:w w:val="110"/>
          <w:sz w:val="20"/>
        </w:rPr>
        <w:t> </w:t>
      </w:r>
      <w:r>
        <w:rPr>
          <w:w w:val="110"/>
          <w:sz w:val="20"/>
        </w:rPr>
        <w:t>par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celle-ci</w:t>
      </w:r>
      <w:r>
        <w:rPr>
          <w:spacing w:val="-23"/>
          <w:w w:val="110"/>
          <w:sz w:val="20"/>
        </w:rPr>
        <w:t> </w:t>
      </w:r>
      <w:r>
        <w:rPr>
          <w:w w:val="105"/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1879" w:val="left" w:leader="none"/>
          <w:tab w:pos="1880" w:val="left" w:leader="none"/>
        </w:tabs>
        <w:spacing w:line="240" w:lineRule="auto" w:before="3" w:after="0"/>
        <w:ind w:left="1879" w:right="0" w:hanging="361"/>
        <w:jc w:val="left"/>
        <w:rPr>
          <w:sz w:val="20"/>
        </w:rPr>
      </w:pPr>
      <w:r>
        <w:rPr>
          <w:w w:val="105"/>
          <w:sz w:val="20"/>
        </w:rPr>
        <w:t>saisir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leurs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vœux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(maximum 3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vœux).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07" w:footer="1169" w:top="1080" w:bottom="1360" w:left="1240" w:right="940"/>
          <w:pgNumType w:start="1"/>
        </w:sectPr>
      </w:pP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92"/>
        <w:ind w:left="1171"/>
      </w:pPr>
      <w:r>
        <w:rPr>
          <w:b/>
          <w:w w:val="105"/>
        </w:rPr>
        <w:t>Tous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agents</w:t>
      </w:r>
      <w:r>
        <w:rPr>
          <w:spacing w:val="-6"/>
          <w:w w:val="105"/>
        </w:rPr>
        <w:t> </w:t>
      </w:r>
      <w:r>
        <w:rPr>
          <w:w w:val="105"/>
        </w:rPr>
        <w:t>pourront</w:t>
      </w:r>
      <w:r>
        <w:rPr>
          <w:spacing w:val="-12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879" w:val="left" w:leader="none"/>
          <w:tab w:pos="1880" w:val="left" w:leader="none"/>
        </w:tabs>
        <w:spacing w:line="242" w:lineRule="auto" w:before="0" w:after="0"/>
        <w:ind w:left="1879" w:right="669" w:hanging="360"/>
        <w:jc w:val="left"/>
        <w:rPr>
          <w:sz w:val="20"/>
        </w:rPr>
      </w:pPr>
      <w:r>
        <w:rPr>
          <w:w w:val="105"/>
          <w:sz w:val="20"/>
        </w:rPr>
        <w:t>consulter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les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plannings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des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opérations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mutation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auxquels</w:t>
      </w:r>
      <w:r>
        <w:rPr>
          <w:spacing w:val="30"/>
          <w:w w:val="105"/>
          <w:sz w:val="20"/>
        </w:rPr>
        <w:t> </w:t>
      </w:r>
      <w:r>
        <w:rPr>
          <w:w w:val="105"/>
          <w:sz w:val="20"/>
        </w:rPr>
        <w:t>ils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souhaitent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participer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(dans leur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académie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ainsi que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dans les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académies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pré-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inscription)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1879" w:val="left" w:leader="none"/>
          <w:tab w:pos="1880" w:val="left" w:leader="none"/>
        </w:tabs>
        <w:spacing w:line="244" w:lineRule="auto" w:before="2" w:after="0"/>
        <w:ind w:left="1879" w:right="791" w:hanging="360"/>
        <w:jc w:val="left"/>
        <w:rPr>
          <w:sz w:val="20"/>
        </w:rPr>
      </w:pPr>
      <w:r>
        <w:rPr>
          <w:w w:val="105"/>
          <w:sz w:val="20"/>
        </w:rPr>
        <w:t>imprimer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et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visualiser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les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supports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vacants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ou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susceptibles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d’être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vacants</w:t>
      </w:r>
      <w:r>
        <w:rPr>
          <w:spacing w:val="-62"/>
          <w:w w:val="105"/>
          <w:sz w:val="20"/>
        </w:rPr>
        <w:t> </w:t>
      </w:r>
      <w:r>
        <w:rPr>
          <w:w w:val="105"/>
          <w:sz w:val="20"/>
        </w:rPr>
        <w:t>indiquant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BAP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descriptifs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postes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1879" w:val="left" w:leader="none"/>
          <w:tab w:pos="1880" w:val="left" w:leader="none"/>
        </w:tabs>
        <w:spacing w:line="242" w:lineRule="auto" w:before="0" w:after="0"/>
        <w:ind w:left="1879" w:right="200" w:hanging="360"/>
        <w:jc w:val="left"/>
        <w:rPr>
          <w:sz w:val="20"/>
        </w:rPr>
      </w:pPr>
      <w:r>
        <w:rPr>
          <w:w w:val="110"/>
          <w:sz w:val="20"/>
        </w:rPr>
        <w:t>éditer leur confirmation de demande de mutation et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 transmettre par la voie</w:t>
      </w:r>
      <w:r>
        <w:rPr>
          <w:spacing w:val="-66"/>
          <w:w w:val="110"/>
          <w:sz w:val="20"/>
        </w:rPr>
        <w:t> </w:t>
      </w:r>
      <w:r>
        <w:rPr>
          <w:w w:val="110"/>
          <w:sz w:val="20"/>
        </w:rPr>
        <w:t>hiérarchique</w:t>
      </w:r>
      <w:r>
        <w:rPr>
          <w:spacing w:val="-25"/>
          <w:w w:val="110"/>
          <w:sz w:val="20"/>
        </w:rPr>
        <w:t> </w:t>
      </w:r>
      <w:r>
        <w:rPr>
          <w:w w:val="105"/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1879" w:val="left" w:leader="none"/>
          <w:tab w:pos="1880" w:val="left" w:leader="none"/>
        </w:tabs>
        <w:spacing w:line="242" w:lineRule="auto" w:before="0" w:after="0"/>
        <w:ind w:left="1879" w:right="262" w:hanging="360"/>
        <w:jc w:val="left"/>
        <w:rPr>
          <w:sz w:val="20"/>
        </w:rPr>
      </w:pPr>
      <w:r>
        <w:rPr>
          <w:w w:val="110"/>
          <w:sz w:val="20"/>
        </w:rPr>
        <w:t>modifier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ou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annuler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leurs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vœux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selon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le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calendrier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des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opérations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mutation</w:t>
      </w:r>
      <w:r>
        <w:rPr>
          <w:spacing w:val="-66"/>
          <w:w w:val="110"/>
          <w:sz w:val="20"/>
        </w:rPr>
        <w:t> </w:t>
      </w:r>
      <w:r>
        <w:rPr>
          <w:w w:val="110"/>
          <w:sz w:val="20"/>
        </w:rPr>
        <w:t>défini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par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l’académie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demandée</w:t>
      </w:r>
      <w:r>
        <w:rPr>
          <w:spacing w:val="-24"/>
          <w:w w:val="110"/>
          <w:sz w:val="20"/>
        </w:rPr>
        <w:t> </w:t>
      </w:r>
      <w:r>
        <w:rPr>
          <w:w w:val="105"/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1879" w:val="left" w:leader="none"/>
          <w:tab w:pos="1880" w:val="left" w:leader="none"/>
        </w:tabs>
        <w:spacing w:line="240" w:lineRule="auto" w:before="1" w:after="0"/>
        <w:ind w:left="1879" w:right="0" w:hanging="361"/>
        <w:jc w:val="left"/>
        <w:rPr>
          <w:sz w:val="20"/>
        </w:rPr>
      </w:pPr>
      <w:r>
        <w:rPr>
          <w:w w:val="110"/>
          <w:sz w:val="20"/>
        </w:rPr>
        <w:t>consulter</w:t>
      </w:r>
      <w:r>
        <w:rPr>
          <w:spacing w:val="-18"/>
          <w:w w:val="110"/>
          <w:sz w:val="20"/>
        </w:rPr>
        <w:t> </w:t>
      </w:r>
      <w:r>
        <w:rPr>
          <w:w w:val="110"/>
          <w:sz w:val="20"/>
        </w:rPr>
        <w:t>leurs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résultats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sur</w:t>
      </w:r>
      <w:r>
        <w:rPr>
          <w:spacing w:val="-17"/>
          <w:w w:val="110"/>
          <w:sz w:val="20"/>
        </w:rPr>
        <w:t> </w:t>
      </w:r>
      <w:r>
        <w:rPr>
          <w:w w:val="110"/>
          <w:sz w:val="20"/>
        </w:rPr>
        <w:t>Amia.</w:t>
      </w:r>
    </w:p>
    <w:sectPr>
      <w:pgSz w:w="11910" w:h="16840"/>
      <w:pgMar w:header="707" w:footer="1169" w:top="1080" w:bottom="1360" w:left="12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69.919998pt;margin-top:772.466003pt;width:397.85pt;height:34.950pt;mso-position-horizontal-relative:page;mso-position-vertical-relative:page;z-index:-157967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©</w:t>
                </w:r>
                <w:r>
                  <w:rPr>
                    <w:spacing w:val="12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Ministère</w:t>
                </w:r>
                <w:r>
                  <w:rPr>
                    <w:spacing w:val="12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de</w:t>
                </w:r>
                <w:r>
                  <w:rPr>
                    <w:spacing w:val="13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l'Éducation</w:t>
                </w:r>
                <w:r>
                  <w:rPr>
                    <w:spacing w:val="12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nationale,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de</w:t>
                </w:r>
                <w:r>
                  <w:rPr>
                    <w:spacing w:val="12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la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Jeunesse</w:t>
                </w:r>
                <w:r>
                  <w:rPr>
                    <w:spacing w:val="13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et</w:t>
                </w:r>
                <w:r>
                  <w:rPr>
                    <w:spacing w:val="14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des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Sports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&gt;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w w:val="105"/>
                      <w:sz w:val="18"/>
                      <w:u w:val="single" w:color="0000FF"/>
                    </w:rPr>
                    <w:t>www.education.gouv.fr</w:t>
                  </w:r>
                </w:hyperlink>
              </w:p>
              <w:p>
                <w:pPr>
                  <w:spacing w:before="4"/>
                  <w:ind w:left="68" w:right="1185" w:hanging="49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©</w:t>
                </w:r>
                <w:r>
                  <w:rPr>
                    <w:spacing w:val="12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Ministère</w:t>
                </w:r>
                <w:r>
                  <w:rPr>
                    <w:spacing w:val="12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de</w:t>
                </w:r>
                <w:r>
                  <w:rPr>
                    <w:spacing w:val="13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l’Enseignement</w:t>
                </w:r>
                <w:r>
                  <w:rPr>
                    <w:spacing w:val="14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supérieur,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de</w:t>
                </w:r>
                <w:r>
                  <w:rPr>
                    <w:spacing w:val="12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la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Recherche</w:t>
                </w:r>
                <w:r>
                  <w:rPr>
                    <w:spacing w:val="13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et</w:t>
                </w:r>
                <w:r>
                  <w:rPr>
                    <w:spacing w:val="14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de</w:t>
                </w:r>
                <w:r>
                  <w:rPr>
                    <w:spacing w:val="12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l’Innovation</w:t>
                </w:r>
                <w:r>
                  <w:rPr>
                    <w:spacing w:val="13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&gt;</w:t>
                </w:r>
                <w:r>
                  <w:rPr>
                    <w:spacing w:val="-56"/>
                    <w:w w:val="105"/>
                    <w:sz w:val="18"/>
                  </w:rPr>
                  <w:t> </w:t>
                </w:r>
                <w:hyperlink r:id="rId2">
                  <w:r>
                    <w:rPr>
                      <w:color w:val="0000FF"/>
                      <w:w w:val="105"/>
                      <w:sz w:val="18"/>
                      <w:u w:val="single" w:color="0000FF"/>
                    </w:rPr>
                    <w:t>www.enseignementsup-recherche.gouv.fr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line style="position:absolute;mso-position-horizontal-relative:page;mso-position-vertical-relative:page;z-index:-15797760" from="75.400002pt,47.399982pt" to="546.800002pt,47.399982pt" stroked="true" strokeweight=".7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2.119995pt;margin-top:34.345982pt;width:176.25pt;height:12.95pt;mso-position-horizontal-relative:page;mso-position-vertical-relative:page;z-index:-157972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Bulletin</w:t>
                </w:r>
                <w:r>
                  <w:rPr>
                    <w:spacing w:val="4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officiel</w:t>
                </w:r>
                <w:r>
                  <w:rPr>
                    <w:spacing w:val="5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spécial</w:t>
                </w:r>
                <w:r>
                  <w:rPr>
                    <w:spacing w:val="5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n°</w:t>
                </w:r>
                <w:r>
                  <w:rPr>
                    <w:spacing w:val="4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4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du</w:t>
                </w:r>
                <w:r>
                  <w:rPr>
                    <w:spacing w:val="3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2-12-2021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"/>
      <w:lvlJc w:val="left"/>
      <w:pPr>
        <w:ind w:left="1879" w:hanging="360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664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44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233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1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0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8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72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57" w:hanging="36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"/>
      <w:lvlJc w:val="left"/>
      <w:pPr>
        <w:ind w:left="1879" w:hanging="360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664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44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233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1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0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8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72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57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880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664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44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233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1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0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8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72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57" w:hanging="360"/>
      </w:pPr>
      <w:rPr>
        <w:rFonts w:hint="default"/>
        <w:lang w:val="fr-FR" w:eastAsia="en-US" w:bidi="ar-SA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879"/>
    </w:pPr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886"/>
      <w:outlineLvl w:val="1"/>
    </w:pPr>
    <w:rPr>
      <w:rFonts w:ascii="Tahoma" w:hAnsi="Tahoma" w:eastAsia="Tahoma" w:cs="Tahoma"/>
      <w:b/>
      <w:bCs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178" w:right="281"/>
    </w:pPr>
    <w:rPr>
      <w:rFonts w:ascii="Tahoma" w:hAnsi="Tahoma" w:eastAsia="Tahoma" w:cs="Tahoma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879" w:hanging="360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amia.phm.education.gouv.fr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education.gouv.fr/" TargetMode="External"/><Relationship Id="rId2" Type="http://schemas.openxmlformats.org/officeDocument/2006/relationships/hyperlink" Target="http://www.enseignementsup-recherche.gouv.f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2022-02-22T13:45:26Z</dcterms:created>
  <dcterms:modified xsi:type="dcterms:W3CDTF">2022-02-22T13:45:26Z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2022-02-22T00:00:00Z</vt:filetime>
  </property>
</Properties>
</file>